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BEA" w:rsidRDefault="00111BEA" w:rsidP="00DE0174">
      <w:pPr>
        <w:pStyle w:val="Ttulo2"/>
        <w:ind w:left="0"/>
        <w:jc w:val="center"/>
        <w:rPr>
          <w:rFonts w:asciiTheme="minorHAnsi" w:hAnsiTheme="minorHAnsi" w:cstheme="minorHAnsi"/>
          <w:color w:val="C00000"/>
          <w:sz w:val="28"/>
          <w:szCs w:val="28"/>
        </w:rPr>
      </w:pPr>
      <w:bookmarkStart w:id="0" w:name="_Toc127445934"/>
      <w:r>
        <w:rPr>
          <w:noProof/>
          <w:lang w:eastAsia="es-ES"/>
        </w:rPr>
        <mc:AlternateContent>
          <mc:Choice Requires="wps">
            <w:drawing>
              <wp:anchor distT="0" distB="0" distL="114300" distR="114300" simplePos="0" relativeHeight="251659264" behindDoc="0" locked="0" layoutInCell="1" allowOverlap="1" wp14:anchorId="7F7286FA" wp14:editId="67B12F5C">
                <wp:simplePos x="0" y="0"/>
                <wp:positionH relativeFrom="column">
                  <wp:posOffset>0</wp:posOffset>
                </wp:positionH>
                <wp:positionV relativeFrom="paragraph">
                  <wp:posOffset>0</wp:posOffset>
                </wp:positionV>
                <wp:extent cx="6686550" cy="332105"/>
                <wp:effectExtent l="0" t="0" r="0" b="0"/>
                <wp:wrapNone/>
                <wp:docPr id="10" name="Rectángulo redondeado 10"/>
                <wp:cNvGraphicFramePr/>
                <a:graphic xmlns:a="http://schemas.openxmlformats.org/drawingml/2006/main">
                  <a:graphicData uri="http://schemas.microsoft.com/office/word/2010/wordprocessingShape">
                    <wps:wsp>
                      <wps:cNvSpPr/>
                      <wps:spPr>
                        <a:xfrm>
                          <a:off x="0" y="0"/>
                          <a:ext cx="6686550" cy="332105"/>
                        </a:xfrm>
                        <a:prstGeom prst="round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BEA" w:rsidRPr="00111BEA" w:rsidRDefault="00111BEA" w:rsidP="00111BEA">
                            <w:pPr>
                              <w:spacing w:after="0"/>
                              <w:jc w:val="center"/>
                              <w:rPr>
                                <w:b/>
                                <w:bCs/>
                                <w:lang w:val="es-ES"/>
                              </w:rPr>
                            </w:pPr>
                            <w:r w:rsidRPr="00111BEA">
                              <w:rPr>
                                <w:b/>
                                <w:bCs/>
                                <w:lang w:val="es-ES"/>
                              </w:rPr>
                              <w:t>Notas a los Estados Contables (Entes Pequeños)</w:t>
                            </w:r>
                          </w:p>
                          <w:p w:rsidR="00111BEA" w:rsidRPr="00A700FD" w:rsidRDefault="00111BEA" w:rsidP="00111BEA">
                            <w:pPr>
                              <w:spacing w:after="0"/>
                              <w:jc w:val="center"/>
                              <w:rPr>
                                <w:b/>
                                <w:bCs/>
                              </w:rPr>
                            </w:pPr>
                          </w:p>
                          <w:p w:rsidR="00111BEA" w:rsidRDefault="00111BEA" w:rsidP="00111BEA">
                            <w:pPr>
                              <w:jc w:val="center"/>
                            </w:pPr>
                          </w:p>
                          <w:p w:rsidR="00111BEA" w:rsidRDefault="00111BEA" w:rsidP="00111BEA">
                            <w:pPr>
                              <w:jc w:val="center"/>
                            </w:pPr>
                          </w:p>
                          <w:p w:rsidR="00111BEA" w:rsidRDefault="00111BEA" w:rsidP="00111BE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7286FA" id="Rectángulo redondeado 10" o:spid="_x0000_s1026" style="position:absolute;left:0;text-align:left;margin-left:0;margin-top:0;width:526.5pt;height:2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" fillcolor="#ed7d31 [3205]" stroked="f" strokeweight="1pt">
                <v:stroke joinstyle="miter"/>
                <v:textbox>
                  <w:txbxContent>
                    <w:p w:rsidR="00111BEA" w:rsidRPr="00111BEA" w:rsidRDefault="00111BEA" w:rsidP="00111BEA">
                      <w:pPr>
                        <w:spacing w:after="0"/>
                        <w:jc w:val="center"/>
                        <w:rPr>
                          <w:b/>
                          <w:bCs/>
                          <w:lang w:val="es-ES"/>
                        </w:rPr>
                      </w:pPr>
                      <w:r w:rsidRPr="00111BEA">
                        <w:rPr>
                          <w:b/>
                          <w:bCs/>
                          <w:lang w:val="es-ES"/>
                        </w:rPr>
                        <w:t>Notas a los Estados Contables (Entes Pequeños)</w:t>
                      </w:r>
                    </w:p>
                    <w:p w:rsidR="00111BEA" w:rsidRPr="00A700FD" w:rsidRDefault="00111BEA" w:rsidP="00111BEA">
                      <w:pPr>
                        <w:spacing w:after="0"/>
                        <w:jc w:val="center"/>
                        <w:rPr>
                          <w:b/>
                          <w:bCs/>
                        </w:rPr>
                      </w:pPr>
                    </w:p>
                    <w:p w:rsidR="00111BEA" w:rsidRDefault="00111BEA" w:rsidP="00111BEA">
                      <w:pPr>
                        <w:jc w:val="center"/>
                      </w:pPr>
                    </w:p>
                    <w:p w:rsidR="00111BEA" w:rsidRDefault="00111BEA" w:rsidP="00111BEA">
                      <w:pPr>
                        <w:jc w:val="center"/>
                      </w:pPr>
                    </w:p>
                    <w:p w:rsidR="00111BEA" w:rsidRDefault="00111BEA" w:rsidP="00111BEA">
                      <w:pPr>
                        <w:jc w:val="center"/>
                      </w:pPr>
                    </w:p>
                  </w:txbxContent>
                </v:textbox>
              </v:roundrect>
            </w:pict>
          </mc:Fallback>
        </mc:AlternateContent>
      </w:r>
    </w:p>
    <w:p w:rsidR="00111BEA" w:rsidRDefault="00111BEA" w:rsidP="00DE0174">
      <w:pPr>
        <w:pStyle w:val="Ttulo2"/>
        <w:ind w:left="0"/>
        <w:jc w:val="center"/>
        <w:rPr>
          <w:rFonts w:asciiTheme="minorHAnsi" w:hAnsiTheme="minorHAnsi" w:cstheme="minorHAnsi"/>
          <w:color w:val="C00000"/>
          <w:sz w:val="28"/>
          <w:szCs w:val="28"/>
        </w:rPr>
      </w:pPr>
      <w:r>
        <w:rPr>
          <w:noProof/>
          <w:lang w:eastAsia="es-ES"/>
        </w:rPr>
        <mc:AlternateContent>
          <mc:Choice Requires="wps">
            <w:drawing>
              <wp:anchor distT="0" distB="0" distL="114300" distR="114300" simplePos="0" relativeHeight="251661312" behindDoc="1" locked="0" layoutInCell="1" allowOverlap="1" wp14:anchorId="09E5A6B3" wp14:editId="4A38C930">
                <wp:simplePos x="0" y="0"/>
                <wp:positionH relativeFrom="column">
                  <wp:posOffset>0</wp:posOffset>
                </wp:positionH>
                <wp:positionV relativeFrom="paragraph">
                  <wp:posOffset>211455</wp:posOffset>
                </wp:positionV>
                <wp:extent cx="4199860" cy="190500"/>
                <wp:effectExtent l="0" t="0" r="0" b="0"/>
                <wp:wrapNone/>
                <wp:docPr id="147" name="Rectángulo redondeado 147"/>
                <wp:cNvGraphicFramePr/>
                <a:graphic xmlns:a="http://schemas.openxmlformats.org/drawingml/2006/main">
                  <a:graphicData uri="http://schemas.microsoft.com/office/word/2010/wordprocessingShape">
                    <wps:wsp>
                      <wps:cNvSpPr/>
                      <wps:spPr>
                        <a:xfrm>
                          <a:off x="0" y="0"/>
                          <a:ext cx="4199860" cy="19050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BEA" w:rsidRPr="00F07BFA" w:rsidRDefault="00111BEA" w:rsidP="00111BE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E5A6B3" id="Rectángulo redondeado 147" o:spid="_x0000_s1027" style="position:absolute;left:0;text-align:left;margin-left:0;margin-top:16.65pt;width:330.7pt;height: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" fillcolor="#f7caac [1301]" stroked="f" strokeweight="1pt">
                <v:stroke joinstyle="miter"/>
                <v:textbox>
                  <w:txbxContent>
                    <w:p w:rsidR="00111BEA" w:rsidRPr="00F07BFA" w:rsidRDefault="00111BEA" w:rsidP="00111BEA">
                      <w:pPr>
                        <w:spacing w:after="0"/>
                        <w:jc w:val="center"/>
                      </w:pPr>
                    </w:p>
                  </w:txbxContent>
                </v:textbox>
              </v:roundrect>
            </w:pict>
          </mc:Fallback>
        </mc:AlternateContent>
      </w:r>
    </w:p>
    <w:bookmarkEnd w:id="0"/>
    <w:p w:rsidR="00DE0174" w:rsidRPr="00B001E8" w:rsidRDefault="00DE0174" w:rsidP="00DE0174">
      <w:pPr>
        <w:spacing w:before="2"/>
        <w:ind w:left="110"/>
        <w:rPr>
          <w:rFonts w:eastAsia="Times New Roman" w:cstheme="minorHAnsi"/>
          <w:b/>
          <w:sz w:val="24"/>
          <w:szCs w:val="24"/>
          <w:lang w:val="es-ES"/>
        </w:rPr>
      </w:pPr>
      <w:r w:rsidRPr="00B001E8">
        <w:rPr>
          <w:rFonts w:eastAsia="Times New Roman" w:cstheme="minorHAnsi"/>
          <w:b/>
          <w:sz w:val="24"/>
          <w:szCs w:val="24"/>
          <w:lang w:val="es-ES"/>
        </w:rPr>
        <w:t>NOTA 1 – NORMAS CONTABLES</w:t>
      </w:r>
    </w:p>
    <w:p w:rsidR="00DE0174" w:rsidRPr="001B2C40" w:rsidRDefault="00DE0174" w:rsidP="00DE0174">
      <w:pPr>
        <w:jc w:val="both"/>
        <w:rPr>
          <w:rFonts w:eastAsia="Times New Roman" w:cstheme="minorHAnsi"/>
          <w:sz w:val="24"/>
          <w:szCs w:val="24"/>
          <w:lang w:val="es-ES"/>
        </w:rPr>
      </w:pPr>
      <w:r w:rsidRPr="001B2C40">
        <w:rPr>
          <w:rFonts w:eastAsia="Times New Roman" w:cstheme="minorHAnsi"/>
          <w:sz w:val="24"/>
          <w:szCs w:val="24"/>
          <w:lang w:val="es-ES"/>
        </w:rPr>
        <w:t>A continuación se detallan las normas contables más relevantes, utilizadas por la Sociedad para la preparación de los presentes estados contables, las que han sido aplicadas uniformemente respecto del ejercicio anterior.</w:t>
      </w:r>
      <w:r w:rsidR="00111BEA" w:rsidRPr="00111BEA">
        <w:rPr>
          <w:noProof/>
          <w:lang w:val="es-ES" w:eastAsia="es-ES"/>
        </w:rPr>
        <w:t xml:space="preserve"> </w:t>
      </w:r>
    </w:p>
    <w:p w:rsidR="00DE0174" w:rsidRPr="00B001E8" w:rsidRDefault="00DE0174" w:rsidP="00DE0174">
      <w:pPr>
        <w:pStyle w:val="Textoindependiente"/>
        <w:spacing w:before="1"/>
        <w:rPr>
          <w:rFonts w:asciiTheme="minorHAnsi" w:hAnsiTheme="minorHAnsi" w:cstheme="minorHAnsi"/>
          <w:b/>
          <w:sz w:val="24"/>
          <w:szCs w:val="24"/>
        </w:rPr>
      </w:pPr>
    </w:p>
    <w:p w:rsidR="00DE0174" w:rsidRPr="00B001E8" w:rsidRDefault="00DE0174" w:rsidP="00DE0174">
      <w:pPr>
        <w:spacing w:before="2"/>
        <w:rPr>
          <w:rFonts w:cstheme="minorHAnsi"/>
          <w:bCs/>
          <w:sz w:val="24"/>
          <w:szCs w:val="24"/>
        </w:rPr>
      </w:pPr>
      <w:bookmarkStart w:id="1" w:name="_Toc125643964"/>
      <w:bookmarkStart w:id="2" w:name="_Toc125644060"/>
      <w:bookmarkStart w:id="3" w:name="_Toc125644154"/>
      <w:r>
        <w:rPr>
          <w:rFonts w:eastAsia="Times New Roman" w:cstheme="minorHAnsi"/>
          <w:b/>
          <w:sz w:val="24"/>
          <w:szCs w:val="24"/>
          <w:lang w:val="es-ES"/>
        </w:rPr>
        <w:t xml:space="preserve">1.1 </w:t>
      </w:r>
      <w:r w:rsidRPr="005E5F4D">
        <w:rPr>
          <w:rFonts w:eastAsia="Times New Roman" w:cstheme="minorHAnsi"/>
          <w:b/>
          <w:sz w:val="24"/>
          <w:szCs w:val="24"/>
          <w:lang w:val="es-ES"/>
        </w:rPr>
        <w:t>Bases de preparación y presentación de los estados contables</w:t>
      </w:r>
      <w:bookmarkEnd w:id="1"/>
      <w:bookmarkEnd w:id="2"/>
      <w:bookmarkEnd w:id="3"/>
    </w:p>
    <w:p w:rsidR="00DE0174" w:rsidRPr="001B2C40" w:rsidRDefault="00DE0174" w:rsidP="00DE0174">
      <w:pPr>
        <w:jc w:val="both"/>
        <w:rPr>
          <w:rFonts w:eastAsia="Times New Roman" w:cstheme="minorHAnsi"/>
          <w:sz w:val="24"/>
          <w:szCs w:val="24"/>
          <w:lang w:val="es-ES"/>
        </w:rPr>
      </w:pPr>
      <w:r w:rsidRPr="001B2C40">
        <w:rPr>
          <w:rFonts w:eastAsia="Times New Roman" w:cstheme="minorHAnsi"/>
          <w:sz w:val="24"/>
          <w:szCs w:val="24"/>
          <w:lang w:val="es-ES"/>
        </w:rPr>
        <w:t>Los presentes estados contables están expresados en pesos en moneda homogénea de cierre y fueron confeccionados conforme a las normas contables de exposición y medición pertinentes, contenidas en las Resoluciones Técnicas e Interpretaciones emitidas por la Federación Argentina de Consejos Profesionales de Ciencias Económicas (FACPCE), aprobadas por el Consejo Profesional de Ciencias Económicas de la Ciudad Autónoma de Buenos Aires (CPCECABA), excepto las contenidas en la Resolución Técnica (RT) N° 26 sobre Adopción de Normas Internacionales de Información Financiera (NIIF) del Consejo de Normas Inter- nacionales de Contabilidad (IASB).</w:t>
      </w:r>
    </w:p>
    <w:p w:rsidR="00DE0174" w:rsidRPr="001B2C40" w:rsidRDefault="00DE0174" w:rsidP="00DE0174">
      <w:pPr>
        <w:jc w:val="both"/>
        <w:rPr>
          <w:rFonts w:eastAsia="Times New Roman" w:cstheme="minorHAnsi"/>
          <w:sz w:val="24"/>
          <w:szCs w:val="24"/>
          <w:lang w:val="es-ES"/>
        </w:rPr>
      </w:pPr>
      <w:r w:rsidRPr="001B2C40">
        <w:rPr>
          <w:rFonts w:eastAsia="Times New Roman" w:cstheme="minorHAnsi"/>
          <w:sz w:val="24"/>
          <w:szCs w:val="24"/>
          <w:lang w:val="es-ES"/>
        </w:rPr>
        <w:t>El ente optó por la aplicación de la Resolución Técnica N° 41 “Normas contables profesionales. Desarrollo de cuestiones de aplicación general: Aspectos de reconocimiento y medición para Entes Pequeños y Entes Medianos”, Segunde parte “Aspectos de reconocimiento y medición para Entes Pequeños” ya que califica como Ente Pequeño (EP), de acuerdo con la Segunda Parte, Sección 1. Alcance de la RT N° 41.</w:t>
      </w:r>
    </w:p>
    <w:p w:rsidR="00DE0174" w:rsidRDefault="00DE0174" w:rsidP="00DE0174">
      <w:pPr>
        <w:spacing w:before="2"/>
        <w:rPr>
          <w:rFonts w:eastAsia="Times New Roman" w:cstheme="minorHAnsi"/>
          <w:b/>
          <w:sz w:val="24"/>
          <w:szCs w:val="24"/>
          <w:lang w:val="es-ES"/>
        </w:rPr>
      </w:pPr>
      <w:bookmarkStart w:id="4" w:name="_Toc125643965"/>
      <w:bookmarkStart w:id="5" w:name="_Toc125644061"/>
      <w:bookmarkStart w:id="6" w:name="_Toc125644155"/>
    </w:p>
    <w:p w:rsidR="00DE0174" w:rsidRPr="005E5F4D" w:rsidRDefault="00DE0174" w:rsidP="00DE0174">
      <w:pPr>
        <w:spacing w:before="2"/>
        <w:rPr>
          <w:rFonts w:eastAsia="Times New Roman" w:cstheme="minorHAnsi"/>
          <w:b/>
          <w:sz w:val="24"/>
          <w:szCs w:val="24"/>
          <w:lang w:val="es-ES"/>
        </w:rPr>
      </w:pPr>
      <w:r>
        <w:rPr>
          <w:rFonts w:eastAsia="Times New Roman" w:cstheme="minorHAnsi"/>
          <w:b/>
          <w:sz w:val="24"/>
          <w:szCs w:val="24"/>
          <w:lang w:val="es-ES"/>
        </w:rPr>
        <w:t xml:space="preserve">1.2 </w:t>
      </w:r>
      <w:r w:rsidRPr="005E5F4D">
        <w:rPr>
          <w:rFonts w:eastAsia="Times New Roman" w:cstheme="minorHAnsi"/>
          <w:b/>
          <w:sz w:val="24"/>
          <w:szCs w:val="24"/>
          <w:lang w:val="es-ES"/>
        </w:rPr>
        <w:t>Estimaciones contables</w:t>
      </w:r>
      <w:bookmarkEnd w:id="4"/>
      <w:bookmarkEnd w:id="5"/>
      <w:bookmarkEnd w:id="6"/>
    </w:p>
    <w:p w:rsidR="00DE0174" w:rsidRPr="001B2C40" w:rsidRDefault="00DE0174" w:rsidP="00DE0174">
      <w:pPr>
        <w:jc w:val="both"/>
        <w:rPr>
          <w:rFonts w:eastAsia="Times New Roman" w:cstheme="minorHAnsi"/>
          <w:sz w:val="24"/>
          <w:szCs w:val="24"/>
          <w:lang w:val="es-ES"/>
        </w:rPr>
      </w:pPr>
      <w:r w:rsidRPr="001B2C40">
        <w:rPr>
          <w:rFonts w:eastAsia="Times New Roman" w:cstheme="minorHAnsi"/>
          <w:sz w:val="24"/>
          <w:szCs w:val="24"/>
          <w:lang w:val="es-ES"/>
        </w:rPr>
        <w:t>La preparación de estados contables requiere que el órgano de administración de la sociedad realice estimaciones y evaluaciones que afectan el monto de los activos y pasivos registrados y los activos y pasivos contingentes revelados a la fecha de cierre, como así también los ingresos y egresos registrados en el ejercicio. Los resultados reales futuros pueden diferir de las estimaciones y evaluaciones realizadas a la fecha de preparación de los presentes estados contables.</w:t>
      </w:r>
    </w:p>
    <w:p w:rsidR="00DE0174" w:rsidRPr="00B001E8" w:rsidRDefault="00DE0174" w:rsidP="00DE0174">
      <w:pPr>
        <w:pStyle w:val="Textoindependiente"/>
        <w:spacing w:before="4"/>
        <w:rPr>
          <w:rFonts w:asciiTheme="minorHAnsi" w:hAnsiTheme="minorHAnsi" w:cstheme="minorHAnsi"/>
          <w:sz w:val="24"/>
          <w:szCs w:val="24"/>
        </w:rPr>
      </w:pPr>
    </w:p>
    <w:p w:rsidR="00DE0174" w:rsidRPr="005E5F4D" w:rsidRDefault="00DE0174" w:rsidP="00DE0174">
      <w:pPr>
        <w:spacing w:before="2"/>
        <w:rPr>
          <w:rFonts w:eastAsia="Times New Roman" w:cstheme="minorHAnsi"/>
          <w:b/>
          <w:sz w:val="24"/>
          <w:szCs w:val="24"/>
          <w:lang w:val="es-ES"/>
        </w:rPr>
      </w:pPr>
      <w:bookmarkStart w:id="7" w:name="_Toc125643966"/>
      <w:bookmarkStart w:id="8" w:name="_Toc125644062"/>
      <w:bookmarkStart w:id="9" w:name="_Toc125644156"/>
      <w:r>
        <w:rPr>
          <w:rFonts w:eastAsia="Times New Roman" w:cstheme="minorHAnsi"/>
          <w:b/>
          <w:sz w:val="24"/>
          <w:szCs w:val="24"/>
          <w:lang w:val="es-ES"/>
        </w:rPr>
        <w:t xml:space="preserve">1.3 </w:t>
      </w:r>
      <w:r w:rsidRPr="005E5F4D">
        <w:rPr>
          <w:rFonts w:eastAsia="Times New Roman" w:cstheme="minorHAnsi"/>
          <w:b/>
          <w:sz w:val="24"/>
          <w:szCs w:val="24"/>
          <w:lang w:val="es-ES"/>
        </w:rPr>
        <w:t>Unidad de medida</w:t>
      </w:r>
      <w:bookmarkEnd w:id="7"/>
      <w:bookmarkEnd w:id="8"/>
      <w:bookmarkEnd w:id="9"/>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Los presentes estados contables han sido preparados en moneda homogénea (pesos de mm de </w:t>
      </w:r>
      <w:proofErr w:type="spellStart"/>
      <w:r w:rsidRPr="00B001E8">
        <w:rPr>
          <w:rFonts w:eastAsia="Times New Roman" w:cstheme="minorHAnsi"/>
          <w:sz w:val="24"/>
          <w:szCs w:val="24"/>
          <w:lang w:val="es-ES"/>
        </w:rPr>
        <w:t>aaaa</w:t>
      </w:r>
      <w:proofErr w:type="spellEnd"/>
      <w:r w:rsidRPr="001B2C40">
        <w:rPr>
          <w:rFonts w:eastAsia="Times New Roman"/>
          <w:sz w:val="24"/>
          <w:szCs w:val="24"/>
          <w:lang w:val="es-ES"/>
        </w:rPr>
        <w:footnoteReference w:id="1"/>
      </w:r>
      <w:r w:rsidRPr="00B001E8">
        <w:rPr>
          <w:rFonts w:eastAsia="Times New Roman" w:cstheme="minorHAnsi"/>
          <w:sz w:val="24"/>
          <w:szCs w:val="24"/>
          <w:lang w:val="es-ES"/>
        </w:rPr>
        <w:t xml:space="preserve">), reconociendo en forma integral los efectos de la inflación de conformidad con lo establecido en la Resolución Técnica (RT) N° 6, en virtud de haberse determinado la existencia de un contexto de alta inflación que vuelve necesaria la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de los estados contables.</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Con fines comparativos, los presentes estados contables incluyen cifras patrimoniales al </w:t>
      </w:r>
      <w:proofErr w:type="spellStart"/>
      <w:r w:rsidRPr="00B001E8">
        <w:rPr>
          <w:rFonts w:eastAsia="Times New Roman" w:cstheme="minorHAnsi"/>
          <w:sz w:val="24"/>
          <w:szCs w:val="24"/>
          <w:lang w:val="es-ES"/>
        </w:rPr>
        <w:t>dd</w:t>
      </w:r>
      <w:proofErr w:type="spellEnd"/>
      <w:r w:rsidRPr="00B001E8">
        <w:rPr>
          <w:rFonts w:eastAsia="Times New Roman" w:cstheme="minorHAnsi"/>
          <w:sz w:val="24"/>
          <w:szCs w:val="24"/>
          <w:lang w:val="es-ES"/>
        </w:rPr>
        <w:t xml:space="preserve"> de mm de </w:t>
      </w:r>
      <w:proofErr w:type="spellStart"/>
      <w:r w:rsidRPr="00B001E8">
        <w:rPr>
          <w:rFonts w:eastAsia="Times New Roman" w:cstheme="minorHAnsi"/>
          <w:sz w:val="24"/>
          <w:szCs w:val="24"/>
          <w:lang w:val="es-ES"/>
        </w:rPr>
        <w:t>aaaa</w:t>
      </w:r>
      <w:proofErr w:type="spellEnd"/>
      <w:r w:rsidRPr="001B2C40">
        <w:rPr>
          <w:rFonts w:eastAsia="Times New Roman"/>
          <w:sz w:val="24"/>
          <w:szCs w:val="24"/>
          <w:lang w:val="es-ES"/>
        </w:rPr>
        <w:footnoteReference w:id="2"/>
      </w:r>
      <w:r w:rsidRPr="001B2C40">
        <w:rPr>
          <w:rFonts w:eastAsia="Times New Roman"/>
          <w:sz w:val="24"/>
          <w:szCs w:val="24"/>
          <w:lang w:val="es-ES"/>
        </w:rPr>
        <w:t xml:space="preserve"> </w:t>
      </w:r>
      <w:r w:rsidRPr="00B001E8">
        <w:rPr>
          <w:rFonts w:eastAsia="Times New Roman" w:cstheme="minorHAnsi"/>
          <w:sz w:val="24"/>
          <w:szCs w:val="24"/>
          <w:lang w:val="es-ES"/>
        </w:rPr>
        <w:t xml:space="preserve">y de resultados, de evolución del patrimonio neto y de flujo de efectivo por el ejercicio económico finalizado en esa fecha. Dichas cifras han sido </w:t>
      </w:r>
      <w:proofErr w:type="spellStart"/>
      <w:r w:rsidRPr="00B001E8">
        <w:rPr>
          <w:rFonts w:eastAsia="Times New Roman" w:cstheme="minorHAnsi"/>
          <w:sz w:val="24"/>
          <w:szCs w:val="24"/>
          <w:lang w:val="es-ES"/>
        </w:rPr>
        <w:t>reexpresadas</w:t>
      </w:r>
      <w:proofErr w:type="spellEnd"/>
      <w:r w:rsidRPr="00B001E8">
        <w:rPr>
          <w:rFonts w:eastAsia="Times New Roman" w:cstheme="minorHAnsi"/>
          <w:sz w:val="24"/>
          <w:szCs w:val="24"/>
          <w:lang w:val="es-ES"/>
        </w:rPr>
        <w:t xml:space="preserve"> en moneda de cierre del presente ejercicio económico, de acuerdo a lo señalado en el párrafo siguiente, a fin de permitir su comparabilidad y sin que tal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modifique las decisiones tomadas con base en la información contable correspondiente al ejercicio anterior.</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Desde la entrada en vigencia de la RT N° 39, que modificó las normas sobre unidad de medida contenidas en la RT N° 17, sección 3.1, la necesidad de </w:t>
      </w:r>
      <w:proofErr w:type="spellStart"/>
      <w:r w:rsidRPr="00B001E8">
        <w:rPr>
          <w:rFonts w:eastAsia="Times New Roman" w:cstheme="minorHAnsi"/>
          <w:sz w:val="24"/>
          <w:szCs w:val="24"/>
          <w:lang w:val="es-ES"/>
        </w:rPr>
        <w:t>reexpresar</w:t>
      </w:r>
      <w:proofErr w:type="spellEnd"/>
      <w:r w:rsidRPr="00B001E8">
        <w:rPr>
          <w:rFonts w:eastAsia="Times New Roman" w:cstheme="minorHAnsi"/>
          <w:sz w:val="24"/>
          <w:szCs w:val="24"/>
          <w:lang w:val="es-ES"/>
        </w:rPr>
        <w:t xml:space="preserve"> los estados contables para reflejar los cambios en el poder adquisitivo de la moneda viene indicada por la existencia o no de un contexto de inflación tal que lleve a calificar la economía de altamente inflacionaria. A los fines de identificar la existencia de un entorno económico con tales características, la RT N° 17 proporciona distintos indicadores.</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lastRenderedPageBreak/>
        <w:t xml:space="preserve">Para favorecer la consistencia en la aplicación de los diferentes indicadores entre distintas entidades, la Interpretación N° 8 establece como indicador clave y condición necesaria para </w:t>
      </w:r>
      <w:proofErr w:type="spellStart"/>
      <w:r w:rsidRPr="00B001E8">
        <w:rPr>
          <w:rFonts w:eastAsia="Times New Roman" w:cstheme="minorHAnsi"/>
          <w:sz w:val="24"/>
          <w:szCs w:val="24"/>
          <w:lang w:val="es-ES"/>
        </w:rPr>
        <w:t>reexpresar</w:t>
      </w:r>
      <w:proofErr w:type="spellEnd"/>
      <w:r w:rsidRPr="00B001E8">
        <w:rPr>
          <w:rFonts w:eastAsia="Times New Roman" w:cstheme="minorHAnsi"/>
          <w:sz w:val="24"/>
          <w:szCs w:val="24"/>
          <w:lang w:val="es-ES"/>
        </w:rPr>
        <w:t xml:space="preserve"> las cifras de los estados contables preparados bajo esa RT, al hecho fáctico de que la tasa acumulada de inflación en tres años, considerando el Índice de Precios Internos al por Mayor (IPIM), del Instituto Nacional de Estadística y Censos (INDEC) alcance o sobrepase el 100 %.</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Durante el primer semestre de 2018, diversos factores macroeconómicos produjeron una aceleración significativa de la inflación, resultando en índices que excedieron el 100 % acumulado en tres años, y en proyecciones de inflación que confirmaron dicha tendencia. Como consecuencia de ello, la Junta de Gobierno (JG) de la Federación Argentina de Consejos Profesionales de Ciencias Económicas (FACPCE) emitió la Resolución JG N° 539/2018 (aprobada por el CPCECABA mediante Resolución C. D. N° 107/2018 y su modificatoria la Res. M. D. N° 11/2019), indicando que se encontraba configurado el contexto de alta inflación y que los estados contables correspondientes a períodos anuales o intermedios cerrados a partir del 1 de julio de 2018 deberían ser ajustados para reflejar los cambios en el poder adquisitivo de la moneda. La mencionada resolución también indicó que los estados contables correspondientes a períodos anuales o intermedios cerrados hasta el 30 de junio de 2018 inclusive no deberían </w:t>
      </w:r>
      <w:proofErr w:type="spellStart"/>
      <w:r w:rsidRPr="00B001E8">
        <w:rPr>
          <w:rFonts w:eastAsia="Times New Roman" w:cstheme="minorHAnsi"/>
          <w:sz w:val="24"/>
          <w:szCs w:val="24"/>
          <w:lang w:val="es-ES"/>
        </w:rPr>
        <w:t>reexpresarse</w:t>
      </w:r>
      <w:proofErr w:type="spellEnd"/>
      <w:r w:rsidRPr="00B001E8">
        <w:rPr>
          <w:rFonts w:eastAsia="Times New Roman" w:cstheme="minorHAnsi"/>
          <w:sz w:val="24"/>
          <w:szCs w:val="24"/>
          <w:lang w:val="es-ES"/>
        </w:rPr>
        <w:t>.</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La aplicación del ajuste por inflación había sido discontinuada el 28 de febrero de 2003 por la vigencia del Decreto N° 664/2003 del Poder Ejecutivo Nacional (PEN), que instruyó a ciertos organismos de contralor a no recibir estados contables ajustados por inflación a partir del 1 de marzo de 2003. Conforme lo resuelto por la FACPCE a través de la Resolución JG N° 287/03, y por el CPCECABA, a través de su Resolución M. D. N° 41/2003, hubiera correspondido la discontinuación de la aplicación del ajuste por inflación a partir del 1 de octubre de 2003; sin embargo, los cambios en el poder adquisitivo de la moneda entre el 28 de febrero de 2003 y el 30 de septiembre de 2003 no fueron significativos.</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El referido Decreto N° 664/2003 fue derogado tras la promulgación de la Ley N° 27.468, el 3 de diciembre de 2018. Asimismo, con fecha 28 de diciembre de 2018, la Inspección General de Justicia (IGJ) emitió la Resolución General N° 10/2018</w:t>
      </w:r>
      <w:r w:rsidRPr="00B001E8">
        <w:rPr>
          <w:rStyle w:val="Refdenotaalpie"/>
          <w:rFonts w:cstheme="minorHAnsi"/>
          <w:sz w:val="18"/>
          <w:szCs w:val="18"/>
          <w:lang w:eastAsia="es-AR"/>
        </w:rPr>
        <w:footnoteReference w:id="3"/>
      </w:r>
      <w:r w:rsidRPr="00B001E8">
        <w:rPr>
          <w:rFonts w:eastAsia="Times New Roman" w:cstheme="minorHAnsi"/>
          <w:sz w:val="24"/>
          <w:szCs w:val="24"/>
          <w:lang w:val="es-ES"/>
        </w:rPr>
        <w:t>, que reglamentó la entrada en vigencia de la aplicación de la RT N° 6 y derogó la prohibición de presentar estados contables ajustados por inflación a partir del [</w:t>
      </w:r>
      <w:proofErr w:type="spellStart"/>
      <w:r w:rsidRPr="00B001E8">
        <w:rPr>
          <w:rFonts w:eastAsia="Times New Roman" w:cstheme="minorHAnsi"/>
          <w:sz w:val="24"/>
          <w:szCs w:val="24"/>
          <w:lang w:val="es-ES"/>
        </w:rPr>
        <w:t>dd</w:t>
      </w:r>
      <w:proofErr w:type="spellEnd"/>
      <w:r w:rsidRPr="00B001E8">
        <w:rPr>
          <w:rFonts w:eastAsia="Times New Roman" w:cstheme="minorHAnsi"/>
          <w:sz w:val="24"/>
          <w:szCs w:val="24"/>
          <w:lang w:val="es-ES"/>
        </w:rPr>
        <w:t>/mm/</w:t>
      </w:r>
      <w:proofErr w:type="spellStart"/>
      <w:r w:rsidRPr="00B001E8">
        <w:rPr>
          <w:rFonts w:eastAsia="Times New Roman" w:cstheme="minorHAnsi"/>
          <w:sz w:val="24"/>
          <w:szCs w:val="24"/>
          <w:lang w:val="es-ES"/>
        </w:rPr>
        <w:t>aaaa</w:t>
      </w:r>
      <w:proofErr w:type="spellEnd"/>
      <w:r w:rsidRPr="00B001E8">
        <w:rPr>
          <w:rFonts w:eastAsia="Times New Roman" w:cstheme="minorHAnsi"/>
          <w:sz w:val="24"/>
          <w:szCs w:val="24"/>
          <w:lang w:val="es-ES"/>
        </w:rPr>
        <w:t>].</w:t>
      </w:r>
    </w:p>
    <w:p w:rsidR="00DE0174" w:rsidRPr="00B001E8" w:rsidRDefault="00DE0174" w:rsidP="00DE0174">
      <w:pPr>
        <w:jc w:val="both"/>
        <w:rPr>
          <w:rFonts w:eastAsia="Times New Roman" w:cstheme="minorHAnsi"/>
          <w:sz w:val="24"/>
          <w:szCs w:val="24"/>
          <w:u w:val="single"/>
          <w:lang w:val="es-ES"/>
        </w:rPr>
      </w:pPr>
      <w:r w:rsidRPr="00B001E8">
        <w:rPr>
          <w:rFonts w:eastAsia="Times New Roman" w:cstheme="minorHAnsi"/>
          <w:sz w:val="24"/>
          <w:szCs w:val="24"/>
          <w:u w:val="single"/>
          <w:lang w:val="es-ES"/>
        </w:rPr>
        <w:t xml:space="preserve">Descripción del proceso de </w:t>
      </w:r>
      <w:proofErr w:type="spellStart"/>
      <w:r w:rsidRPr="00B001E8">
        <w:rPr>
          <w:rFonts w:eastAsia="Times New Roman" w:cstheme="minorHAnsi"/>
          <w:sz w:val="24"/>
          <w:szCs w:val="24"/>
          <w:u w:val="single"/>
          <w:lang w:val="es-ES"/>
        </w:rPr>
        <w:t>reexpresión</w:t>
      </w:r>
      <w:proofErr w:type="spellEnd"/>
      <w:r w:rsidRPr="00B001E8">
        <w:rPr>
          <w:rFonts w:eastAsia="Times New Roman" w:cstheme="minorHAnsi"/>
          <w:sz w:val="24"/>
          <w:szCs w:val="24"/>
          <w:u w:val="single"/>
          <w:lang w:val="es-ES"/>
        </w:rPr>
        <w:t xml:space="preserve"> a moneda de cierre</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A efectos de </w:t>
      </w:r>
      <w:proofErr w:type="spellStart"/>
      <w:r w:rsidRPr="00B001E8">
        <w:rPr>
          <w:rFonts w:eastAsia="Times New Roman" w:cstheme="minorHAnsi"/>
          <w:sz w:val="24"/>
          <w:szCs w:val="24"/>
          <w:lang w:val="es-ES"/>
        </w:rPr>
        <w:t>reexpresar</w:t>
      </w:r>
      <w:proofErr w:type="spellEnd"/>
      <w:r w:rsidRPr="00B001E8">
        <w:rPr>
          <w:rFonts w:eastAsia="Times New Roman" w:cstheme="minorHAnsi"/>
          <w:sz w:val="24"/>
          <w:szCs w:val="24"/>
          <w:lang w:val="es-ES"/>
        </w:rPr>
        <w:t xml:space="preserve"> las diferentes partidas y rubros que integran los estados contables, la Entidad deberá, entre otras cosas:</w:t>
      </w:r>
    </w:p>
    <w:p w:rsidR="00DE0174" w:rsidRPr="00B001E8" w:rsidRDefault="00DE0174" w:rsidP="00DE0174">
      <w:pPr>
        <w:numPr>
          <w:ilvl w:val="0"/>
          <w:numId w:val="1"/>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 xml:space="preserve">Determinar el momento de origen de las partidas (o el momento de su última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según corresponda).</w:t>
      </w:r>
    </w:p>
    <w:p w:rsidR="00DE0174" w:rsidRPr="00B001E8" w:rsidRDefault="00DE0174" w:rsidP="00DE0174">
      <w:pPr>
        <w:numPr>
          <w:ilvl w:val="0"/>
          <w:numId w:val="1"/>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 xml:space="preserve">Calcular los coeficientes de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aplicables. A tal efecto, se utiliza la serie de índices definida por la FACPCE en la Resolución JG N° 539/2018. La variación del índice utilizado para la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de los estados contables ha sido del </w:t>
      </w:r>
      <w:proofErr w:type="spellStart"/>
      <w:r w:rsidRPr="00B001E8">
        <w:rPr>
          <w:rFonts w:eastAsia="Times New Roman" w:cstheme="minorHAnsi"/>
          <w:sz w:val="24"/>
          <w:szCs w:val="24"/>
          <w:lang w:val="es-ES"/>
        </w:rPr>
        <w:t>xx</w:t>
      </w:r>
      <w:proofErr w:type="gramStart"/>
      <w:r w:rsidRPr="00B001E8">
        <w:rPr>
          <w:rFonts w:eastAsia="Times New Roman" w:cstheme="minorHAnsi"/>
          <w:sz w:val="24"/>
          <w:szCs w:val="24"/>
          <w:lang w:val="es-ES"/>
        </w:rPr>
        <w:t>,xx</w:t>
      </w:r>
      <w:proofErr w:type="spellEnd"/>
      <w:proofErr w:type="gramEnd"/>
      <w:r w:rsidRPr="00B001E8">
        <w:rPr>
          <w:rFonts w:eastAsia="Times New Roman" w:cstheme="minorHAnsi"/>
          <w:sz w:val="24"/>
          <w:szCs w:val="24"/>
          <w:lang w:val="es-ES"/>
        </w:rPr>
        <w:t xml:space="preserve"> % entre el ejercicio económico finalizado el </w:t>
      </w:r>
      <w:proofErr w:type="spellStart"/>
      <w:r w:rsidRPr="00B001E8">
        <w:rPr>
          <w:rFonts w:eastAsia="Times New Roman" w:cstheme="minorHAnsi"/>
          <w:sz w:val="24"/>
          <w:szCs w:val="24"/>
          <w:lang w:val="es-ES"/>
        </w:rPr>
        <w:t>dd</w:t>
      </w:r>
      <w:proofErr w:type="spellEnd"/>
      <w:r w:rsidRPr="00B001E8">
        <w:rPr>
          <w:rFonts w:eastAsia="Times New Roman" w:cstheme="minorHAnsi"/>
          <w:sz w:val="24"/>
          <w:szCs w:val="24"/>
          <w:lang w:val="es-ES"/>
        </w:rPr>
        <w:t xml:space="preserve"> de mm de </w:t>
      </w:r>
      <w:proofErr w:type="spellStart"/>
      <w:r w:rsidRPr="00B001E8">
        <w:rPr>
          <w:rFonts w:eastAsia="Times New Roman" w:cstheme="minorHAnsi"/>
          <w:sz w:val="24"/>
          <w:szCs w:val="24"/>
          <w:lang w:val="es-ES"/>
        </w:rPr>
        <w:t>aaaa</w:t>
      </w:r>
      <w:proofErr w:type="spellEnd"/>
      <w:r w:rsidRPr="00B001E8">
        <w:rPr>
          <w:rFonts w:eastAsia="Times New Roman" w:cstheme="minorHAnsi"/>
          <w:sz w:val="24"/>
          <w:szCs w:val="24"/>
          <w:lang w:val="es-ES"/>
        </w:rPr>
        <w:t xml:space="preserve"> y el ejercicio anterior.</w:t>
      </w:r>
    </w:p>
    <w:p w:rsidR="00DE0174" w:rsidRPr="00B001E8" w:rsidRDefault="00DE0174" w:rsidP="00DE0174">
      <w:pPr>
        <w:numPr>
          <w:ilvl w:val="0"/>
          <w:numId w:val="1"/>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 xml:space="preserve">Aplicar los coeficientes de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a los importes de las partidas anticuadas para </w:t>
      </w:r>
      <w:proofErr w:type="spellStart"/>
      <w:r w:rsidRPr="00B001E8">
        <w:rPr>
          <w:rFonts w:eastAsia="Times New Roman" w:cstheme="minorHAnsi"/>
          <w:sz w:val="24"/>
          <w:szCs w:val="24"/>
          <w:lang w:val="es-ES"/>
        </w:rPr>
        <w:t>reexpresarlas</w:t>
      </w:r>
      <w:proofErr w:type="spellEnd"/>
      <w:r w:rsidRPr="00B001E8">
        <w:rPr>
          <w:rFonts w:eastAsia="Times New Roman" w:cstheme="minorHAnsi"/>
          <w:sz w:val="24"/>
          <w:szCs w:val="24"/>
          <w:lang w:val="es-ES"/>
        </w:rPr>
        <w:t xml:space="preserve"> a moneda de cierre. A este respecto, las partidas que deberán </w:t>
      </w:r>
      <w:proofErr w:type="spellStart"/>
      <w:r w:rsidRPr="00B001E8">
        <w:rPr>
          <w:rFonts w:eastAsia="Times New Roman" w:cstheme="minorHAnsi"/>
          <w:sz w:val="24"/>
          <w:szCs w:val="24"/>
          <w:lang w:val="es-ES"/>
        </w:rPr>
        <w:t>reexpresarse</w:t>
      </w:r>
      <w:proofErr w:type="spellEnd"/>
      <w:r w:rsidRPr="00B001E8">
        <w:rPr>
          <w:rFonts w:eastAsia="Times New Roman" w:cstheme="minorHAnsi"/>
          <w:sz w:val="24"/>
          <w:szCs w:val="24"/>
          <w:lang w:val="es-ES"/>
        </w:rPr>
        <w:t xml:space="preserve"> serán aquellas que no estén expresadas en moneda de cierre.</w:t>
      </w:r>
    </w:p>
    <w:p w:rsidR="00DE0174" w:rsidRPr="00B001E8" w:rsidRDefault="00DE0174" w:rsidP="00DE0174">
      <w:pPr>
        <w:numPr>
          <w:ilvl w:val="0"/>
          <w:numId w:val="1"/>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 xml:space="preserve">Comprobar que los valores </w:t>
      </w:r>
      <w:proofErr w:type="spellStart"/>
      <w:r w:rsidRPr="00B001E8">
        <w:rPr>
          <w:rFonts w:eastAsia="Times New Roman" w:cstheme="minorHAnsi"/>
          <w:sz w:val="24"/>
          <w:szCs w:val="24"/>
          <w:lang w:val="es-ES"/>
        </w:rPr>
        <w:t>reexpresados</w:t>
      </w:r>
      <w:proofErr w:type="spellEnd"/>
      <w:r w:rsidRPr="00B001E8">
        <w:rPr>
          <w:rFonts w:eastAsia="Times New Roman" w:cstheme="minorHAnsi"/>
          <w:sz w:val="24"/>
          <w:szCs w:val="24"/>
          <w:lang w:val="es-ES"/>
        </w:rPr>
        <w:t xml:space="preserve"> de los diferentes activos no excedan a sus correspondientes valores recuperables determinados de acuerdo con las normas contables profesionales pertinentes.</w:t>
      </w:r>
    </w:p>
    <w:p w:rsidR="00DE0174" w:rsidRPr="00B001E8" w:rsidRDefault="00DE0174" w:rsidP="00DE0174">
      <w:pPr>
        <w:jc w:val="both"/>
        <w:rPr>
          <w:rFonts w:eastAsia="Times New Roman" w:cstheme="minorHAnsi"/>
          <w:sz w:val="24"/>
          <w:szCs w:val="24"/>
          <w:lang w:val="es-ES"/>
        </w:rPr>
      </w:pP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 xml:space="preserve">La aplicación del proceso de </w:t>
      </w:r>
      <w:proofErr w:type="spellStart"/>
      <w:r w:rsidRPr="00B001E8">
        <w:rPr>
          <w:rFonts w:eastAsia="Times New Roman" w:cstheme="minorHAnsi"/>
          <w:sz w:val="24"/>
          <w:szCs w:val="24"/>
          <w:lang w:val="es-ES"/>
        </w:rPr>
        <w:t>reexpresión</w:t>
      </w:r>
      <w:proofErr w:type="spellEnd"/>
      <w:r w:rsidRPr="00B001E8">
        <w:rPr>
          <w:rFonts w:eastAsia="Times New Roman" w:cstheme="minorHAnsi"/>
          <w:sz w:val="24"/>
          <w:szCs w:val="24"/>
          <w:lang w:val="es-ES"/>
        </w:rPr>
        <w:t xml:space="preserve"> establecido en la RT N° 6 permite el reconocimiento de las ganancias y pérdidas derivadas del mantenimiento de activos y pasivos expuestos a los cambios en el poder adquisitivo </w:t>
      </w:r>
      <w:r w:rsidRPr="00B001E8">
        <w:rPr>
          <w:rFonts w:eastAsia="Times New Roman" w:cstheme="minorHAnsi"/>
          <w:sz w:val="24"/>
          <w:szCs w:val="24"/>
          <w:lang w:val="es-ES"/>
        </w:rPr>
        <w:lastRenderedPageBreak/>
        <w:t>de la moneda a lo largo del período. Tales ganancias y pérdidas se exponen en el rubro “Resultados financieros y por tenencia (incluye RECPAM</w:t>
      </w:r>
      <w:r w:rsidRPr="00B001E8">
        <w:rPr>
          <w:rStyle w:val="Refdenotaalpie"/>
          <w:rFonts w:cstheme="minorHAnsi"/>
          <w:sz w:val="18"/>
          <w:szCs w:val="18"/>
          <w:lang w:eastAsia="es-AR"/>
        </w:rPr>
        <w:footnoteReference w:id="4"/>
      </w:r>
      <w:r w:rsidRPr="00B001E8">
        <w:rPr>
          <w:rFonts w:eastAsia="Times New Roman" w:cstheme="minorHAnsi"/>
          <w:sz w:val="24"/>
          <w:szCs w:val="24"/>
          <w:lang w:val="es-ES"/>
        </w:rPr>
        <w:t>)”</w:t>
      </w:r>
      <w:r w:rsidRPr="00B001E8">
        <w:rPr>
          <w:rStyle w:val="Refdenotaalpie"/>
          <w:rFonts w:cstheme="minorHAnsi"/>
          <w:sz w:val="18"/>
          <w:szCs w:val="18"/>
          <w:lang w:eastAsia="es-AR"/>
        </w:rPr>
        <w:footnoteReference w:id="5"/>
      </w:r>
      <w:r w:rsidRPr="00B001E8">
        <w:rPr>
          <w:rFonts w:eastAsia="Times New Roman" w:cstheme="minorHAnsi"/>
          <w:sz w:val="24"/>
          <w:szCs w:val="24"/>
          <w:lang w:val="es-ES"/>
        </w:rPr>
        <w:t xml:space="preserve"> del estado de resultados</w:t>
      </w:r>
      <w:r w:rsidRPr="00B001E8">
        <w:rPr>
          <w:rStyle w:val="Refdenotaalpie"/>
          <w:rFonts w:cstheme="minorHAnsi"/>
          <w:sz w:val="18"/>
          <w:szCs w:val="18"/>
          <w:lang w:eastAsia="es-AR"/>
        </w:rPr>
        <w:footnoteReference w:id="6"/>
      </w:r>
      <w:r w:rsidRPr="00B001E8">
        <w:rPr>
          <w:rStyle w:val="Refdenotaalpie"/>
          <w:rFonts w:cstheme="minorHAnsi"/>
          <w:sz w:val="18"/>
          <w:szCs w:val="18"/>
          <w:lang w:eastAsia="es-AR"/>
        </w:rPr>
        <w:t>.</w:t>
      </w:r>
    </w:p>
    <w:p w:rsidR="00DE0174" w:rsidRPr="00B001E8" w:rsidRDefault="00DE0174" w:rsidP="00DE0174">
      <w:pPr>
        <w:jc w:val="both"/>
        <w:rPr>
          <w:rFonts w:eastAsia="Times New Roman" w:cstheme="minorHAnsi"/>
          <w:sz w:val="24"/>
          <w:szCs w:val="24"/>
          <w:u w:val="single"/>
          <w:lang w:val="es-ES"/>
        </w:rPr>
      </w:pPr>
      <w:r w:rsidRPr="00B001E8">
        <w:rPr>
          <w:rFonts w:eastAsia="Times New Roman" w:cstheme="minorHAnsi"/>
          <w:sz w:val="24"/>
          <w:szCs w:val="24"/>
          <w:u w:val="single"/>
          <w:lang w:val="es-ES"/>
        </w:rPr>
        <w:t>Utilización de dispensas opcionales establecidas por RT N° 6 y Resolución JG N° 539/2018 de la FACPCE</w:t>
      </w: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Para la preparación de los presentes estados contables, el órgano de administración de la entidad ha utilizado las siguientes simplificaciones dispuestas por la Resolución N° 539/2018 (FACPCE), en su versión adoptada por el CPCECABA mediante las Resoluciones CD 107/2018 y MD 11/2019, relacionadas con la aplicación posterior de la RT N° 6, tras la reanudación luego de un período de estabilidad</w:t>
      </w:r>
      <w:r w:rsidRPr="00B001E8">
        <w:rPr>
          <w:rStyle w:val="Refdenotaalpie"/>
          <w:rFonts w:cstheme="minorHAnsi"/>
          <w:sz w:val="18"/>
          <w:szCs w:val="18"/>
          <w:lang w:eastAsia="es-AR"/>
        </w:rPr>
        <w:footnoteReference w:id="7"/>
      </w:r>
      <w:r w:rsidRPr="00B001E8">
        <w:rPr>
          <w:rFonts w:eastAsia="Times New Roman" w:cstheme="minorHAnsi"/>
          <w:sz w:val="24"/>
          <w:szCs w:val="24"/>
          <w:lang w:val="es-ES"/>
        </w:rPr>
        <w:t>:</w:t>
      </w:r>
    </w:p>
    <w:p w:rsidR="00DE0174" w:rsidRPr="00B001E8" w:rsidRDefault="00DE0174" w:rsidP="00DE0174">
      <w:pPr>
        <w:pStyle w:val="Prrafodelista"/>
        <w:numPr>
          <w:ilvl w:val="0"/>
          <w:numId w:val="2"/>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No ha presentado la nota requerida por el inciso (b), del párrafo 6, de la Interpretación N° 2 “Estado de Flujo de Efectivo y sus Equivalentes” (FACPCE).</w:t>
      </w:r>
    </w:p>
    <w:p w:rsidR="00DE0174" w:rsidRPr="00B001E8" w:rsidRDefault="00DE0174" w:rsidP="00DE0174">
      <w:pPr>
        <w:pStyle w:val="Prrafodelista"/>
        <w:numPr>
          <w:ilvl w:val="0"/>
          <w:numId w:val="2"/>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El estado de flujo de efectivo ha sido presentado por el método directo, mostrando la información ajustada por inflación en forma sintética.</w:t>
      </w:r>
    </w:p>
    <w:p w:rsidR="00DE0174" w:rsidRPr="00B001E8" w:rsidRDefault="00DE0174" w:rsidP="00DE0174">
      <w:pPr>
        <w:pStyle w:val="Prrafodelista"/>
        <w:numPr>
          <w:ilvl w:val="0"/>
          <w:numId w:val="2"/>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 xml:space="preserve">No ha reconocido impuestos diferidos procedentes de las diferencias temporarias surgidas de comparar el saldo contable de los terrenos, </w:t>
      </w:r>
      <w:proofErr w:type="spellStart"/>
      <w:r w:rsidRPr="00B001E8">
        <w:rPr>
          <w:rFonts w:eastAsia="Times New Roman" w:cstheme="minorHAnsi"/>
          <w:sz w:val="24"/>
          <w:szCs w:val="24"/>
          <w:lang w:val="es-ES"/>
        </w:rPr>
        <w:t>reexpresados</w:t>
      </w:r>
      <w:proofErr w:type="spellEnd"/>
      <w:r w:rsidRPr="00B001E8">
        <w:rPr>
          <w:rFonts w:eastAsia="Times New Roman" w:cstheme="minorHAnsi"/>
          <w:sz w:val="24"/>
          <w:szCs w:val="24"/>
          <w:lang w:val="es-ES"/>
        </w:rPr>
        <w:t xml:space="preserve"> de acuerdo con la RT N° 6, con su correspondiente base impositiva, en la medida en que el órgano de administración consideró que será improbable que esas diferencias temporarias se reversarán en un futuro previsible. Tal diferencia temporaria, al </w:t>
      </w:r>
      <w:proofErr w:type="spellStart"/>
      <w:r w:rsidRPr="00B001E8">
        <w:rPr>
          <w:rFonts w:eastAsia="Times New Roman" w:cstheme="minorHAnsi"/>
          <w:sz w:val="24"/>
          <w:szCs w:val="24"/>
          <w:lang w:val="es-ES"/>
        </w:rPr>
        <w:t>dd</w:t>
      </w:r>
      <w:proofErr w:type="spellEnd"/>
      <w:r w:rsidRPr="00B001E8">
        <w:rPr>
          <w:rFonts w:eastAsia="Times New Roman" w:cstheme="minorHAnsi"/>
          <w:sz w:val="24"/>
          <w:szCs w:val="24"/>
          <w:lang w:val="es-ES"/>
        </w:rPr>
        <w:t xml:space="preserve"> de mm de </w:t>
      </w:r>
      <w:proofErr w:type="spellStart"/>
      <w:r w:rsidRPr="00B001E8">
        <w:rPr>
          <w:rFonts w:eastAsia="Times New Roman" w:cstheme="minorHAnsi"/>
          <w:sz w:val="24"/>
          <w:szCs w:val="24"/>
          <w:lang w:val="es-ES"/>
        </w:rPr>
        <w:t>aaaa</w:t>
      </w:r>
      <w:proofErr w:type="spellEnd"/>
      <w:r w:rsidRPr="00B001E8">
        <w:rPr>
          <w:rStyle w:val="Refdenotaalpie"/>
          <w:rFonts w:cstheme="minorHAnsi"/>
          <w:sz w:val="18"/>
          <w:szCs w:val="18"/>
          <w:lang w:eastAsia="es-AR"/>
        </w:rPr>
        <w:footnoteReference w:id="8"/>
      </w:r>
      <w:r w:rsidRPr="00B001E8">
        <w:rPr>
          <w:rFonts w:eastAsia="Times New Roman" w:cstheme="minorHAnsi"/>
          <w:sz w:val="24"/>
          <w:szCs w:val="24"/>
          <w:lang w:val="es-ES"/>
        </w:rPr>
        <w:t>, ascendía a ______________.</w:t>
      </w:r>
      <w:r w:rsidRPr="00B001E8">
        <w:rPr>
          <w:rStyle w:val="Refdenotaalpie"/>
          <w:rFonts w:cstheme="minorHAnsi"/>
          <w:sz w:val="18"/>
          <w:szCs w:val="18"/>
          <w:lang w:eastAsia="es-AR"/>
        </w:rPr>
        <w:footnoteReference w:id="9"/>
      </w:r>
    </w:p>
    <w:p w:rsidR="00DE0174" w:rsidRPr="00B001E8" w:rsidRDefault="00DE0174" w:rsidP="00DE0174">
      <w:pPr>
        <w:ind w:left="357" w:hanging="357"/>
        <w:jc w:val="both"/>
        <w:rPr>
          <w:rFonts w:eastAsia="Times New Roman" w:cstheme="minorHAnsi"/>
          <w:sz w:val="24"/>
          <w:szCs w:val="24"/>
          <w:lang w:val="es-ES"/>
        </w:rPr>
      </w:pPr>
    </w:p>
    <w:p w:rsidR="00DE0174" w:rsidRPr="00B001E8" w:rsidRDefault="00DE0174" w:rsidP="00DE0174">
      <w:pPr>
        <w:pStyle w:val="Prrafodelista"/>
        <w:numPr>
          <w:ilvl w:val="0"/>
          <w:numId w:val="2"/>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No ha presentado la nota requerida del inciso a), de la sección C.7 -impuesto a las ganancias-, del capítulo VI - información complementaria-, de la RT N° 9</w:t>
      </w:r>
      <w:r w:rsidRPr="00B001E8">
        <w:rPr>
          <w:rStyle w:val="Refdenotaalpie"/>
          <w:rFonts w:cstheme="minorHAnsi"/>
          <w:sz w:val="18"/>
          <w:szCs w:val="18"/>
          <w:lang w:eastAsia="es-AR"/>
        </w:rPr>
        <w:footnoteReference w:id="10"/>
      </w:r>
    </w:p>
    <w:p w:rsidR="00DE0174" w:rsidRPr="00B001E8" w:rsidRDefault="00DE0174" w:rsidP="00DE0174">
      <w:pPr>
        <w:pStyle w:val="Prrafodelista"/>
        <w:numPr>
          <w:ilvl w:val="0"/>
          <w:numId w:val="2"/>
        </w:numPr>
        <w:spacing w:after="0" w:line="240" w:lineRule="auto"/>
        <w:ind w:left="357" w:hanging="357"/>
        <w:jc w:val="both"/>
        <w:rPr>
          <w:rFonts w:eastAsia="Times New Roman" w:cstheme="minorHAnsi"/>
          <w:sz w:val="24"/>
          <w:szCs w:val="24"/>
          <w:lang w:val="es-ES"/>
        </w:rPr>
      </w:pPr>
      <w:r w:rsidRPr="00B001E8">
        <w:rPr>
          <w:rFonts w:eastAsia="Times New Roman" w:cstheme="minorHAnsi"/>
          <w:sz w:val="24"/>
          <w:szCs w:val="24"/>
          <w:lang w:val="es-ES"/>
        </w:rPr>
        <w:t>Optó por presentar en una sola línea a los resultados financieros y por tenencia, incluyendo al resultado por exposición al cambio en el poder adquisitivo de la moneda (RECPAM), denominada “Resultados financieros y por tenencia (incluyendo al RECPAM)”, tal como lo permite la RT N° 6.</w:t>
      </w:r>
    </w:p>
    <w:p w:rsidR="00DE0174" w:rsidRPr="00B001E8" w:rsidRDefault="00DE0174" w:rsidP="00DE0174">
      <w:pPr>
        <w:jc w:val="both"/>
        <w:rPr>
          <w:rFonts w:eastAsia="Times New Roman" w:cstheme="minorHAnsi"/>
          <w:sz w:val="24"/>
          <w:szCs w:val="24"/>
          <w:lang w:val="es-ES"/>
        </w:rPr>
      </w:pPr>
    </w:p>
    <w:p w:rsidR="00DE0174" w:rsidRPr="00B001E8" w:rsidRDefault="00DE0174" w:rsidP="00DE0174">
      <w:pPr>
        <w:jc w:val="both"/>
        <w:rPr>
          <w:rFonts w:eastAsia="Times New Roman" w:cstheme="minorHAnsi"/>
          <w:sz w:val="24"/>
          <w:szCs w:val="24"/>
          <w:lang w:val="es-ES"/>
        </w:rPr>
      </w:pPr>
      <w:r w:rsidRPr="00B001E8">
        <w:rPr>
          <w:rFonts w:eastAsia="Times New Roman" w:cstheme="minorHAnsi"/>
          <w:sz w:val="24"/>
          <w:szCs w:val="24"/>
          <w:lang w:val="es-ES"/>
        </w:rPr>
        <w:t>Los presentes estados contables deben ser leídos e interpretados considerando las limitaciones que la utilización de las dispensas antes mencionadas podría provocar sobre la información contenida en los estados contables</w:t>
      </w:r>
      <w:r w:rsidRPr="00B001E8">
        <w:rPr>
          <w:rStyle w:val="Refdenotaalpie"/>
          <w:rFonts w:cstheme="minorHAnsi"/>
          <w:sz w:val="18"/>
          <w:szCs w:val="18"/>
          <w:lang w:eastAsia="es-AR"/>
        </w:rPr>
        <w:footnoteReference w:id="11"/>
      </w:r>
      <w:r w:rsidRPr="00B001E8">
        <w:rPr>
          <w:rStyle w:val="Refdenotaalpie"/>
          <w:rFonts w:cstheme="minorHAnsi"/>
          <w:sz w:val="18"/>
          <w:szCs w:val="18"/>
          <w:lang w:eastAsia="es-AR"/>
        </w:rPr>
        <w:t>.</w:t>
      </w:r>
    </w:p>
    <w:p w:rsidR="00DE0174" w:rsidRPr="00B001E8" w:rsidRDefault="00DE0174" w:rsidP="00DE0174">
      <w:pPr>
        <w:pStyle w:val="Ttulo2"/>
        <w:tabs>
          <w:tab w:val="left" w:pos="694"/>
        </w:tabs>
        <w:rPr>
          <w:rFonts w:asciiTheme="minorHAnsi" w:hAnsiTheme="minorHAnsi" w:cstheme="minorHAnsi"/>
          <w:bCs w:val="0"/>
          <w:sz w:val="24"/>
          <w:szCs w:val="24"/>
        </w:rPr>
      </w:pPr>
    </w:p>
    <w:p w:rsidR="00DE0174" w:rsidRPr="009F4246" w:rsidRDefault="00DE0174" w:rsidP="00DE0174">
      <w:pPr>
        <w:pStyle w:val="Prrafodelista"/>
        <w:numPr>
          <w:ilvl w:val="1"/>
          <w:numId w:val="3"/>
        </w:numPr>
        <w:spacing w:before="2"/>
        <w:rPr>
          <w:rFonts w:cstheme="minorHAnsi"/>
          <w:bCs/>
          <w:sz w:val="24"/>
          <w:szCs w:val="24"/>
        </w:rPr>
      </w:pPr>
      <w:bookmarkStart w:id="10" w:name="_Toc125643967"/>
      <w:bookmarkStart w:id="11" w:name="_Toc125644063"/>
      <w:bookmarkStart w:id="12" w:name="_Toc125644157"/>
      <w:r w:rsidRPr="009F4246">
        <w:rPr>
          <w:rFonts w:eastAsia="Times New Roman" w:cstheme="minorHAnsi"/>
          <w:b/>
          <w:sz w:val="24"/>
          <w:szCs w:val="24"/>
          <w:lang w:val="es-ES"/>
        </w:rPr>
        <w:t>Criterios de medición</w:t>
      </w:r>
      <w:r w:rsidRPr="005E5F4D">
        <w:rPr>
          <w:rStyle w:val="Refdenotaalpie"/>
          <w:rFonts w:cstheme="minorHAnsi"/>
          <w:sz w:val="18"/>
          <w:szCs w:val="18"/>
          <w:lang w:eastAsia="es-AR"/>
        </w:rPr>
        <w:footnoteReference w:id="12"/>
      </w:r>
      <w:bookmarkEnd w:id="10"/>
      <w:bookmarkEnd w:id="11"/>
      <w:bookmarkEnd w:id="12"/>
    </w:p>
    <w:p w:rsidR="00DE0174" w:rsidRPr="00423E14" w:rsidRDefault="00DE0174" w:rsidP="00DE0174">
      <w:pPr>
        <w:jc w:val="both"/>
        <w:rPr>
          <w:rFonts w:eastAsia="Times New Roman" w:cstheme="minorHAnsi"/>
          <w:b/>
          <w:bCs/>
          <w:sz w:val="24"/>
          <w:szCs w:val="24"/>
          <w:lang w:val="es-ES"/>
        </w:rPr>
      </w:pPr>
      <w:r w:rsidRPr="00423E14">
        <w:rPr>
          <w:rFonts w:eastAsia="Times New Roman" w:cstheme="minorHAnsi"/>
          <w:b/>
          <w:bCs/>
          <w:sz w:val="24"/>
          <w:szCs w:val="24"/>
          <w:lang w:val="es-ES"/>
        </w:rPr>
        <w:t>1.4.1 Caja y Bancos</w:t>
      </w:r>
    </w:p>
    <w:p w:rsidR="00DE0174" w:rsidRPr="001B2C40" w:rsidRDefault="00DE0174" w:rsidP="00DE0174">
      <w:pPr>
        <w:jc w:val="both"/>
        <w:rPr>
          <w:rFonts w:eastAsia="Times New Roman" w:cstheme="minorHAnsi"/>
          <w:sz w:val="24"/>
          <w:szCs w:val="24"/>
          <w:lang w:val="es-ES"/>
        </w:rPr>
      </w:pPr>
      <w:r w:rsidRPr="001B2C40">
        <w:rPr>
          <w:rFonts w:eastAsia="Times New Roman" w:cstheme="minorHAnsi"/>
          <w:sz w:val="24"/>
          <w:szCs w:val="24"/>
          <w:lang w:val="es-ES"/>
        </w:rPr>
        <w:t>El efectivo disponible se ha computado a su valor nominal.</w:t>
      </w:r>
    </w:p>
    <w:p w:rsidR="00DE0174" w:rsidRPr="00423E14" w:rsidRDefault="00DE0174" w:rsidP="00DE0174">
      <w:pPr>
        <w:jc w:val="both"/>
        <w:rPr>
          <w:rFonts w:eastAsia="Times New Roman" w:cstheme="minorHAnsi"/>
          <w:b/>
          <w:bCs/>
          <w:sz w:val="24"/>
          <w:szCs w:val="24"/>
          <w:lang w:val="es-ES"/>
        </w:rPr>
      </w:pPr>
      <w:bookmarkStart w:id="13" w:name="_Toc125643968"/>
      <w:bookmarkStart w:id="14" w:name="_Toc125644064"/>
      <w:bookmarkStart w:id="15" w:name="_Toc125644158"/>
      <w:r w:rsidRPr="00423E14">
        <w:rPr>
          <w:rFonts w:eastAsia="Times New Roman" w:cstheme="minorHAnsi"/>
          <w:b/>
          <w:bCs/>
          <w:sz w:val="24"/>
          <w:szCs w:val="24"/>
          <w:lang w:val="es-ES"/>
        </w:rPr>
        <w:t>1.4.2 Activos y pasivos en moneda extranjera</w:t>
      </w:r>
      <w:bookmarkEnd w:id="13"/>
      <w:bookmarkEnd w:id="14"/>
      <w:bookmarkEnd w:id="15"/>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Los activos y pasivos en moneda extranjera han sido medidos a los tipos de cambio (comprador y/o vendedor) vigentes al cierre del ejercicio.</w:t>
      </w:r>
    </w:p>
    <w:p w:rsidR="00DE0174" w:rsidRPr="00423E14" w:rsidRDefault="00DE0174" w:rsidP="00DE0174">
      <w:pPr>
        <w:jc w:val="both"/>
        <w:rPr>
          <w:rFonts w:eastAsia="Times New Roman" w:cstheme="minorHAnsi"/>
          <w:b/>
          <w:bCs/>
          <w:sz w:val="24"/>
          <w:szCs w:val="24"/>
          <w:lang w:val="es-ES"/>
        </w:rPr>
      </w:pPr>
      <w:bookmarkStart w:id="16" w:name="_Toc125643969"/>
      <w:bookmarkStart w:id="17" w:name="_Toc125644065"/>
      <w:bookmarkStart w:id="18" w:name="_Toc125644159"/>
      <w:r w:rsidRPr="00423E14">
        <w:rPr>
          <w:rFonts w:eastAsia="Times New Roman" w:cstheme="minorHAnsi"/>
          <w:b/>
          <w:bCs/>
          <w:sz w:val="24"/>
          <w:szCs w:val="24"/>
          <w:lang w:val="es-ES"/>
        </w:rPr>
        <w:t>1.4.3 Créditos por ventas, otros créditos y deudas en moneda nacional (sin cláusula de ajuste)</w:t>
      </w:r>
      <w:bookmarkEnd w:id="16"/>
      <w:bookmarkEnd w:id="17"/>
      <w:bookmarkEnd w:id="18"/>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lastRenderedPageBreak/>
        <w:t>Los créditos por ventas (de bienes o servicios) y las deudas han sido medidos a su valor nominal.</w:t>
      </w:r>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Idéntico criterio de medición se siguió para los otros créditos y demás cuentas por pagar.</w:t>
      </w:r>
    </w:p>
    <w:p w:rsidR="00DE0174" w:rsidRPr="00423E14" w:rsidRDefault="00DE0174" w:rsidP="00DE0174">
      <w:pPr>
        <w:jc w:val="both"/>
        <w:rPr>
          <w:rFonts w:eastAsia="Times New Roman" w:cstheme="minorHAnsi"/>
          <w:b/>
          <w:bCs/>
          <w:sz w:val="24"/>
          <w:szCs w:val="24"/>
          <w:lang w:val="es-ES"/>
        </w:rPr>
      </w:pPr>
      <w:bookmarkStart w:id="19" w:name="_Toc125643970"/>
      <w:bookmarkStart w:id="20" w:name="_Toc125644066"/>
      <w:bookmarkStart w:id="21" w:name="_Toc125644160"/>
      <w:r w:rsidRPr="00423E14">
        <w:rPr>
          <w:rFonts w:eastAsia="Times New Roman" w:cstheme="minorHAnsi"/>
          <w:b/>
          <w:bCs/>
          <w:sz w:val="24"/>
          <w:szCs w:val="24"/>
          <w:lang w:val="es-ES"/>
        </w:rPr>
        <w:t>1.4.4 Bienes de cambio</w:t>
      </w:r>
      <w:bookmarkEnd w:id="19"/>
      <w:bookmarkEnd w:id="20"/>
      <w:bookmarkEnd w:id="21"/>
    </w:p>
    <w:p w:rsidR="00DE0174" w:rsidRPr="00A16F3B" w:rsidRDefault="00DE0174" w:rsidP="00DE0174">
      <w:pPr>
        <w:jc w:val="both"/>
        <w:rPr>
          <w:rFonts w:eastAsia="Times New Roman" w:cstheme="minorHAnsi"/>
          <w:sz w:val="24"/>
          <w:szCs w:val="24"/>
          <w:lang w:val="es-ES"/>
        </w:rPr>
      </w:pPr>
      <w:bookmarkStart w:id="22" w:name="_Toc125643971"/>
      <w:bookmarkStart w:id="23" w:name="_Toc125644067"/>
      <w:bookmarkStart w:id="24" w:name="_Toc125644161"/>
      <w:r w:rsidRPr="00A16F3B">
        <w:rPr>
          <w:rFonts w:eastAsia="Times New Roman" w:cstheme="minorHAnsi"/>
          <w:sz w:val="24"/>
          <w:szCs w:val="24"/>
          <w:lang w:val="es-ES"/>
        </w:rPr>
        <w:t>Los bienes de cambio están medidos a su costo de última compra.</w:t>
      </w:r>
      <w:bookmarkEnd w:id="22"/>
      <w:bookmarkEnd w:id="23"/>
      <w:bookmarkEnd w:id="24"/>
    </w:p>
    <w:p w:rsidR="00DE0174" w:rsidRPr="00423E14" w:rsidRDefault="00DE0174" w:rsidP="00DE0174">
      <w:pPr>
        <w:jc w:val="both"/>
        <w:rPr>
          <w:rFonts w:eastAsia="Times New Roman" w:cstheme="minorHAnsi"/>
          <w:b/>
          <w:bCs/>
          <w:sz w:val="24"/>
          <w:szCs w:val="24"/>
          <w:lang w:val="es-ES"/>
        </w:rPr>
      </w:pPr>
      <w:bookmarkStart w:id="25" w:name="_Toc125643972"/>
      <w:bookmarkStart w:id="26" w:name="_Toc125644068"/>
      <w:bookmarkStart w:id="27" w:name="_Toc125644162"/>
      <w:r w:rsidRPr="00423E14">
        <w:rPr>
          <w:rFonts w:eastAsia="Times New Roman" w:cstheme="minorHAnsi"/>
          <w:b/>
          <w:bCs/>
          <w:sz w:val="24"/>
          <w:szCs w:val="24"/>
          <w:lang w:val="es-ES"/>
        </w:rPr>
        <w:t>1.4.5 Bienes de uso</w:t>
      </w:r>
      <w:bookmarkEnd w:id="25"/>
      <w:bookmarkEnd w:id="26"/>
      <w:bookmarkEnd w:id="27"/>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 xml:space="preserve">Los bienes de uso están medidos a su costo de adquisición </w:t>
      </w:r>
      <w:proofErr w:type="spellStart"/>
      <w:r w:rsidRPr="00423E14">
        <w:rPr>
          <w:rFonts w:eastAsia="Times New Roman" w:cstheme="minorHAnsi"/>
          <w:sz w:val="24"/>
          <w:szCs w:val="24"/>
          <w:lang w:val="es-ES"/>
        </w:rPr>
        <w:t>reexpresados</w:t>
      </w:r>
      <w:proofErr w:type="spellEnd"/>
      <w:r w:rsidRPr="00423E14">
        <w:rPr>
          <w:rFonts w:eastAsia="Times New Roman" w:cstheme="minorHAnsi"/>
          <w:sz w:val="24"/>
          <w:szCs w:val="24"/>
          <w:lang w:val="es-ES"/>
        </w:rPr>
        <w:t xml:space="preserve"> de acuerdo a lo indicado en el punto 1.3, netos de sus depreciaciones acumuladas.</w:t>
      </w:r>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Las depreciaciones están calculadas por el método de la línea recta en base a la vida útil estimada de los bienes, aplicando tasas anuales suficientes para extinguir sus valores al final de dicha vida útil.</w:t>
      </w:r>
    </w:p>
    <w:p w:rsidR="00DE0174" w:rsidRPr="00423E14" w:rsidRDefault="00DE0174" w:rsidP="00DE0174">
      <w:pPr>
        <w:jc w:val="both"/>
        <w:rPr>
          <w:rFonts w:eastAsia="Times New Roman" w:cstheme="minorHAnsi"/>
          <w:b/>
          <w:bCs/>
          <w:sz w:val="24"/>
          <w:szCs w:val="24"/>
          <w:lang w:val="es-ES"/>
        </w:rPr>
      </w:pPr>
      <w:bookmarkStart w:id="28" w:name="_Toc125643973"/>
      <w:bookmarkStart w:id="29" w:name="_Toc125644069"/>
      <w:bookmarkStart w:id="30" w:name="_Toc125644163"/>
      <w:r w:rsidRPr="00423E14">
        <w:rPr>
          <w:rFonts w:eastAsia="Times New Roman" w:cstheme="minorHAnsi"/>
          <w:b/>
          <w:bCs/>
          <w:sz w:val="24"/>
          <w:szCs w:val="24"/>
          <w:lang w:val="es-ES"/>
        </w:rPr>
        <w:t>1.4.6 Impuesto a las ganancias</w:t>
      </w:r>
      <w:bookmarkEnd w:id="28"/>
      <w:bookmarkEnd w:id="29"/>
      <w:bookmarkEnd w:id="30"/>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La entidad optó por reconocer el impuesto a las ganancias sobre la base del impuesto determinado correspondiente al ejercicio (método del impuesto a pagar).</w:t>
      </w:r>
    </w:p>
    <w:p w:rsidR="00DE0174" w:rsidRPr="00423E14" w:rsidRDefault="00DE0174" w:rsidP="00DE0174">
      <w:pPr>
        <w:jc w:val="both"/>
        <w:rPr>
          <w:rFonts w:eastAsia="Times New Roman" w:cstheme="minorHAnsi"/>
          <w:b/>
          <w:bCs/>
          <w:sz w:val="24"/>
          <w:szCs w:val="24"/>
          <w:lang w:val="es-ES"/>
        </w:rPr>
      </w:pPr>
      <w:bookmarkStart w:id="31" w:name="_Toc125643974"/>
      <w:bookmarkStart w:id="32" w:name="_Toc125644070"/>
      <w:bookmarkStart w:id="33" w:name="_Toc125644164"/>
      <w:r w:rsidRPr="00423E14">
        <w:rPr>
          <w:rFonts w:eastAsia="Times New Roman" w:cstheme="minorHAnsi"/>
          <w:b/>
          <w:bCs/>
          <w:sz w:val="24"/>
          <w:szCs w:val="24"/>
          <w:lang w:val="es-ES"/>
        </w:rPr>
        <w:t>1.4.7 Cuentas del estado de resultados</w:t>
      </w:r>
      <w:bookmarkEnd w:id="31"/>
      <w:bookmarkEnd w:id="32"/>
      <w:bookmarkEnd w:id="33"/>
    </w:p>
    <w:p w:rsidR="00DE0174" w:rsidRPr="00423E14" w:rsidRDefault="00DE0174" w:rsidP="00DE0174">
      <w:pPr>
        <w:jc w:val="both"/>
        <w:rPr>
          <w:rFonts w:eastAsia="Times New Roman" w:cstheme="minorHAnsi"/>
          <w:sz w:val="24"/>
          <w:szCs w:val="24"/>
          <w:lang w:val="es-ES"/>
        </w:rPr>
      </w:pPr>
      <w:bookmarkStart w:id="34" w:name="_Toc125643975"/>
      <w:bookmarkStart w:id="35" w:name="_Toc125644071"/>
      <w:bookmarkStart w:id="36" w:name="_Toc125644165"/>
      <w:r w:rsidRPr="00423E14">
        <w:rPr>
          <w:rFonts w:eastAsia="Times New Roman" w:cstheme="minorHAnsi"/>
          <w:sz w:val="24"/>
          <w:szCs w:val="24"/>
          <w:lang w:val="es-ES"/>
        </w:rPr>
        <w:t xml:space="preserve">Las cuentas integrantes del estado de resultados han sido </w:t>
      </w:r>
      <w:proofErr w:type="spellStart"/>
      <w:r w:rsidRPr="00423E14">
        <w:rPr>
          <w:rFonts w:eastAsia="Times New Roman" w:cstheme="minorHAnsi"/>
          <w:sz w:val="24"/>
          <w:szCs w:val="24"/>
          <w:lang w:val="es-ES"/>
        </w:rPr>
        <w:t>reexpresadas</w:t>
      </w:r>
      <w:proofErr w:type="spellEnd"/>
      <w:r w:rsidRPr="00423E14">
        <w:rPr>
          <w:rFonts w:eastAsia="Times New Roman" w:cstheme="minorHAnsi"/>
          <w:sz w:val="24"/>
          <w:szCs w:val="24"/>
          <w:lang w:val="es-ES"/>
        </w:rPr>
        <w:t xml:space="preserve"> de acuerdo a lo indicado en el punto 1.3.</w:t>
      </w:r>
      <w:bookmarkEnd w:id="34"/>
      <w:bookmarkEnd w:id="35"/>
      <w:bookmarkEnd w:id="36"/>
    </w:p>
    <w:p w:rsidR="00DE0174" w:rsidRPr="00423E14" w:rsidRDefault="00DE0174" w:rsidP="00DE0174">
      <w:pPr>
        <w:jc w:val="both"/>
        <w:rPr>
          <w:rFonts w:eastAsia="Times New Roman" w:cstheme="minorHAnsi"/>
          <w:b/>
          <w:bCs/>
          <w:sz w:val="24"/>
          <w:szCs w:val="24"/>
          <w:lang w:val="es-ES"/>
        </w:rPr>
      </w:pPr>
      <w:bookmarkStart w:id="37" w:name="_Toc125643976"/>
      <w:bookmarkStart w:id="38" w:name="_Toc125644072"/>
      <w:bookmarkStart w:id="39" w:name="_Toc125644166"/>
      <w:r w:rsidRPr="00423E14">
        <w:rPr>
          <w:rFonts w:eastAsia="Times New Roman" w:cstheme="minorHAnsi"/>
          <w:b/>
          <w:bCs/>
          <w:sz w:val="24"/>
          <w:szCs w:val="24"/>
          <w:lang w:val="es-ES"/>
        </w:rPr>
        <w:t>1.4.8 Cuentas del patrimonio neto</w:t>
      </w:r>
      <w:bookmarkEnd w:id="37"/>
      <w:bookmarkEnd w:id="38"/>
      <w:bookmarkEnd w:id="39"/>
    </w:p>
    <w:p w:rsidR="00DE0174" w:rsidRPr="00423E14" w:rsidRDefault="00DE0174" w:rsidP="00DE0174">
      <w:pPr>
        <w:jc w:val="both"/>
        <w:rPr>
          <w:rFonts w:eastAsia="Times New Roman" w:cstheme="minorHAnsi"/>
          <w:sz w:val="24"/>
          <w:szCs w:val="24"/>
          <w:lang w:val="es-ES"/>
        </w:rPr>
      </w:pPr>
      <w:r w:rsidRPr="00423E14">
        <w:rPr>
          <w:rFonts w:eastAsia="Times New Roman" w:cstheme="minorHAnsi"/>
          <w:sz w:val="24"/>
          <w:szCs w:val="24"/>
          <w:lang w:val="es-ES"/>
        </w:rPr>
        <w:t xml:space="preserve">Las cuentas integrantes del patrimonio neto han sido </w:t>
      </w:r>
      <w:proofErr w:type="spellStart"/>
      <w:r w:rsidRPr="00423E14">
        <w:rPr>
          <w:rFonts w:eastAsia="Times New Roman" w:cstheme="minorHAnsi"/>
          <w:sz w:val="24"/>
          <w:szCs w:val="24"/>
          <w:lang w:val="es-ES"/>
        </w:rPr>
        <w:t>reexpresadas</w:t>
      </w:r>
      <w:proofErr w:type="spellEnd"/>
      <w:r w:rsidRPr="00423E14">
        <w:rPr>
          <w:rFonts w:eastAsia="Times New Roman" w:cstheme="minorHAnsi"/>
          <w:sz w:val="24"/>
          <w:szCs w:val="24"/>
          <w:lang w:val="es-ES"/>
        </w:rPr>
        <w:t xml:space="preserve"> de acuerdo a lo indicado en el punto 1.3.</w:t>
      </w:r>
    </w:p>
    <w:p w:rsidR="00DE0174" w:rsidRDefault="00111BEA" w:rsidP="00DE0174">
      <w:pPr>
        <w:pStyle w:val="Textoindependiente"/>
        <w:rPr>
          <w:rFonts w:asciiTheme="minorHAnsi" w:hAnsiTheme="minorHAnsi" w:cstheme="minorHAnsi"/>
          <w:sz w:val="24"/>
          <w:szCs w:val="24"/>
        </w:rPr>
      </w:pPr>
      <w:r>
        <w:rPr>
          <w:noProof/>
          <w:lang w:eastAsia="es-ES"/>
        </w:rPr>
        <mc:AlternateContent>
          <mc:Choice Requires="wps">
            <w:drawing>
              <wp:anchor distT="0" distB="0" distL="114300" distR="114300" simplePos="0" relativeHeight="251663360" behindDoc="1" locked="0" layoutInCell="1" allowOverlap="1" wp14:anchorId="320EC79E" wp14:editId="7C0CCC47">
                <wp:simplePos x="0" y="0"/>
                <wp:positionH relativeFrom="column">
                  <wp:posOffset>-9525</wp:posOffset>
                </wp:positionH>
                <wp:positionV relativeFrom="paragraph">
                  <wp:posOffset>171450</wp:posOffset>
                </wp:positionV>
                <wp:extent cx="4199860" cy="190500"/>
                <wp:effectExtent l="0" t="0" r="0" b="0"/>
                <wp:wrapNone/>
                <wp:docPr id="2" name="Rectángulo redondeado 2"/>
                <wp:cNvGraphicFramePr/>
                <a:graphic xmlns:a="http://schemas.openxmlformats.org/drawingml/2006/main">
                  <a:graphicData uri="http://schemas.microsoft.com/office/word/2010/wordprocessingShape">
                    <wps:wsp>
                      <wps:cNvSpPr/>
                      <wps:spPr>
                        <a:xfrm>
                          <a:off x="0" y="0"/>
                          <a:ext cx="4199860" cy="19050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BEA" w:rsidRPr="00F07BFA" w:rsidRDefault="00111BEA" w:rsidP="00111BE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EC79E" id="Rectángulo redondeado 2" o:spid="_x0000_s1028" style="position:absolute;margin-left:-.75pt;margin-top:13.5pt;width:330.7pt;height: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" fillcolor="#f7caac [1301]" stroked="f" strokeweight="1pt">
                <v:stroke joinstyle="miter"/>
                <v:textbox>
                  <w:txbxContent>
                    <w:p w:rsidR="00111BEA" w:rsidRPr="00F07BFA" w:rsidRDefault="00111BEA" w:rsidP="00111BEA">
                      <w:pPr>
                        <w:spacing w:after="0"/>
                        <w:jc w:val="center"/>
                      </w:pPr>
                    </w:p>
                  </w:txbxContent>
                </v:textbox>
              </v:roundrect>
            </w:pict>
          </mc:Fallback>
        </mc:AlternateContent>
      </w:r>
    </w:p>
    <w:p w:rsidR="00DE0174" w:rsidRPr="005E5F4D" w:rsidRDefault="00DE0174" w:rsidP="00DE0174">
      <w:pPr>
        <w:spacing w:before="2"/>
        <w:rPr>
          <w:rFonts w:eastAsia="Times New Roman" w:cstheme="minorHAnsi"/>
          <w:b/>
          <w:sz w:val="24"/>
          <w:szCs w:val="24"/>
          <w:lang w:val="es-ES"/>
        </w:rPr>
      </w:pPr>
      <w:bookmarkStart w:id="40" w:name="_Toc125643977"/>
      <w:bookmarkStart w:id="41" w:name="_Toc125644073"/>
      <w:bookmarkStart w:id="42" w:name="_Toc125644167"/>
      <w:r w:rsidRPr="005E5F4D">
        <w:rPr>
          <w:rFonts w:eastAsia="Times New Roman" w:cstheme="minorHAnsi"/>
          <w:b/>
          <w:sz w:val="24"/>
          <w:szCs w:val="24"/>
          <w:lang w:val="es-ES"/>
        </w:rPr>
        <w:t>NOTA 2 – COMPOSICIÓN DE LOS RUBROS</w:t>
      </w:r>
      <w:bookmarkEnd w:id="40"/>
      <w:bookmarkEnd w:id="41"/>
      <w:bookmarkEnd w:id="42"/>
    </w:p>
    <w:p w:rsidR="00DE0174" w:rsidRPr="00B001E8" w:rsidRDefault="00DE0174" w:rsidP="00111BEA">
      <w:pPr>
        <w:spacing w:before="10"/>
        <w:rPr>
          <w:rFonts w:cstheme="minorHAnsi"/>
          <w:sz w:val="28"/>
          <w:szCs w:val="26"/>
        </w:rPr>
      </w:pPr>
      <w:r>
        <w:rPr>
          <w:rFonts w:eastAsia="Times New Roman" w:cstheme="minorHAnsi"/>
          <w:b/>
          <w:sz w:val="24"/>
          <w:szCs w:val="24"/>
          <w:lang w:val="es-ES"/>
        </w:rPr>
        <w:t xml:space="preserve">  </w:t>
      </w:r>
      <w:r w:rsidRPr="00B001E8">
        <w:rPr>
          <w:rFonts w:eastAsia="Times New Roman" w:cstheme="minorHAnsi"/>
          <w:b/>
          <w:sz w:val="24"/>
          <w:szCs w:val="24"/>
          <w:lang w:val="es-ES"/>
        </w:rPr>
        <w:t>2.1 Caja y Bancos (a modo de ejemplo):</w:t>
      </w:r>
    </w:p>
    <w:tbl>
      <w:tblPr>
        <w:tblStyle w:val="TableNormal1"/>
        <w:tblW w:w="0" w:type="auto"/>
        <w:tblInd w:w="670"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3689"/>
        <w:gridCol w:w="2179"/>
        <w:gridCol w:w="2179"/>
      </w:tblGrid>
      <w:tr w:rsidR="00DE0174" w:rsidRPr="00B001E8" w:rsidTr="00111BEA">
        <w:trPr>
          <w:trHeight w:val="219"/>
        </w:trPr>
        <w:tc>
          <w:tcPr>
            <w:tcW w:w="3689" w:type="dxa"/>
            <w:vMerge w:val="restart"/>
            <w:shd w:val="clear" w:color="auto" w:fill="C00000"/>
          </w:tcPr>
          <w:p w:rsidR="00111BEA" w:rsidRPr="00111BEA" w:rsidRDefault="00111BEA" w:rsidP="00111BEA">
            <w:pPr>
              <w:pStyle w:val="TableParagraph"/>
              <w:jc w:val="center"/>
              <w:rPr>
                <w:rFonts w:asciiTheme="minorHAnsi" w:hAnsiTheme="minorHAnsi" w:cstheme="minorHAnsi"/>
                <w:b/>
                <w:color w:val="FFFFFF" w:themeColor="background1"/>
                <w:sz w:val="28"/>
                <w:szCs w:val="26"/>
              </w:rPr>
            </w:pPr>
          </w:p>
          <w:p w:rsidR="00DE0174" w:rsidRPr="00111BEA" w:rsidRDefault="00DE0174" w:rsidP="00111BEA">
            <w:pPr>
              <w:pStyle w:val="TableParagraph"/>
              <w:jc w:val="center"/>
              <w:rPr>
                <w:rFonts w:asciiTheme="minorHAnsi" w:hAnsiTheme="minorHAnsi" w:cstheme="minorHAnsi"/>
                <w:b/>
                <w:color w:val="FFFFFF" w:themeColor="background1"/>
                <w:sz w:val="28"/>
                <w:szCs w:val="26"/>
              </w:rPr>
            </w:pPr>
            <w:r w:rsidRPr="00111BEA">
              <w:rPr>
                <w:rFonts w:asciiTheme="minorHAnsi" w:hAnsiTheme="minorHAnsi" w:cstheme="minorHAnsi"/>
                <w:b/>
                <w:color w:val="FFFFFF" w:themeColor="background1"/>
                <w:sz w:val="28"/>
                <w:szCs w:val="26"/>
              </w:rPr>
              <w:t>Conceptos</w:t>
            </w:r>
          </w:p>
        </w:tc>
        <w:tc>
          <w:tcPr>
            <w:tcW w:w="4358" w:type="dxa"/>
            <w:gridSpan w:val="2"/>
            <w:shd w:val="clear" w:color="auto" w:fill="C00000"/>
          </w:tcPr>
          <w:p w:rsidR="00DE0174" w:rsidRPr="00111BEA" w:rsidRDefault="00DE0174" w:rsidP="00111BEA">
            <w:pPr>
              <w:pStyle w:val="TableParagraph"/>
              <w:spacing w:before="23"/>
              <w:jc w:val="center"/>
              <w:rPr>
                <w:rFonts w:asciiTheme="minorHAnsi" w:hAnsiTheme="minorHAnsi" w:cstheme="minorHAnsi"/>
                <w:b/>
                <w:color w:val="FFFFFF" w:themeColor="background1"/>
                <w:sz w:val="28"/>
                <w:szCs w:val="26"/>
              </w:rPr>
            </w:pPr>
            <w:r w:rsidRPr="00111BEA">
              <w:rPr>
                <w:rFonts w:asciiTheme="minorHAnsi" w:hAnsiTheme="minorHAnsi" w:cstheme="minorHAnsi"/>
                <w:b/>
                <w:color w:val="FFFFFF" w:themeColor="background1"/>
                <w:sz w:val="28"/>
                <w:szCs w:val="26"/>
              </w:rPr>
              <w:t>Corriente</w:t>
            </w:r>
          </w:p>
        </w:tc>
      </w:tr>
      <w:tr w:rsidR="00DE0174" w:rsidRPr="00B001E8" w:rsidTr="00111BEA">
        <w:trPr>
          <w:trHeight w:val="219"/>
        </w:trPr>
        <w:tc>
          <w:tcPr>
            <w:tcW w:w="3689" w:type="dxa"/>
            <w:vMerge/>
            <w:tcBorders>
              <w:top w:val="nil"/>
            </w:tcBorders>
            <w:shd w:val="clear" w:color="auto" w:fill="C7C8CA"/>
          </w:tcPr>
          <w:p w:rsidR="00DE0174" w:rsidRPr="00B001E8" w:rsidRDefault="00DE0174" w:rsidP="00111BEA">
            <w:pPr>
              <w:jc w:val="center"/>
              <w:rPr>
                <w:rFonts w:eastAsia="Times New Roman" w:cstheme="minorHAnsi"/>
                <w:sz w:val="28"/>
                <w:szCs w:val="26"/>
                <w:lang w:val="es-ES"/>
              </w:rPr>
            </w:pPr>
          </w:p>
        </w:tc>
        <w:tc>
          <w:tcPr>
            <w:tcW w:w="2179" w:type="dxa"/>
            <w:shd w:val="clear" w:color="auto" w:fill="FBE4D5" w:themeFill="accent2" w:themeFillTint="33"/>
          </w:tcPr>
          <w:p w:rsidR="00DE0174" w:rsidRPr="00B001E8" w:rsidRDefault="00DE0174" w:rsidP="00111BEA">
            <w:pPr>
              <w:pStyle w:val="TableParagraph"/>
              <w:spacing w:before="23"/>
              <w:jc w:val="center"/>
              <w:rPr>
                <w:rFonts w:asciiTheme="minorHAnsi" w:hAnsiTheme="minorHAnsi" w:cstheme="minorHAnsi"/>
                <w:sz w:val="28"/>
                <w:szCs w:val="26"/>
              </w:rPr>
            </w:pPr>
            <w:r w:rsidRPr="00B001E8">
              <w:rPr>
                <w:rFonts w:asciiTheme="minorHAnsi" w:hAnsiTheme="minorHAnsi" w:cstheme="minorHAnsi"/>
                <w:sz w:val="28"/>
                <w:szCs w:val="26"/>
              </w:rPr>
              <w:t>Actual</w:t>
            </w:r>
          </w:p>
        </w:tc>
        <w:tc>
          <w:tcPr>
            <w:tcW w:w="2178" w:type="dxa"/>
            <w:shd w:val="clear" w:color="auto" w:fill="FBE4D5" w:themeFill="accent2" w:themeFillTint="33"/>
          </w:tcPr>
          <w:p w:rsidR="00DE0174" w:rsidRPr="00B001E8" w:rsidRDefault="00DE0174" w:rsidP="00111BEA">
            <w:pPr>
              <w:pStyle w:val="TableParagraph"/>
              <w:spacing w:before="23"/>
              <w:jc w:val="center"/>
              <w:rPr>
                <w:rFonts w:asciiTheme="minorHAnsi" w:hAnsiTheme="minorHAnsi" w:cstheme="minorHAnsi"/>
                <w:sz w:val="28"/>
                <w:szCs w:val="26"/>
              </w:rPr>
            </w:pPr>
            <w:r w:rsidRPr="00B001E8">
              <w:rPr>
                <w:rFonts w:asciiTheme="minorHAnsi" w:hAnsiTheme="minorHAnsi" w:cstheme="minorHAnsi"/>
                <w:sz w:val="28"/>
                <w:szCs w:val="26"/>
              </w:rPr>
              <w:t>Anterior</w:t>
            </w:r>
          </w:p>
        </w:tc>
      </w:tr>
      <w:tr w:rsidR="00DE0174" w:rsidRPr="00B001E8" w:rsidTr="00111BEA">
        <w:trPr>
          <w:trHeight w:val="219"/>
        </w:trPr>
        <w:tc>
          <w:tcPr>
            <w:tcW w:w="3689" w:type="dxa"/>
            <w:vMerge/>
            <w:tcBorders>
              <w:top w:val="nil"/>
            </w:tcBorders>
            <w:shd w:val="clear" w:color="auto" w:fill="C7C8CA"/>
          </w:tcPr>
          <w:p w:rsidR="00DE0174" w:rsidRPr="00B001E8" w:rsidRDefault="00DE0174" w:rsidP="00111BEA">
            <w:pPr>
              <w:jc w:val="center"/>
              <w:rPr>
                <w:rFonts w:eastAsia="Times New Roman" w:cstheme="minorHAnsi"/>
                <w:sz w:val="28"/>
                <w:szCs w:val="26"/>
                <w:lang w:val="es-ES"/>
              </w:rPr>
            </w:pPr>
          </w:p>
        </w:tc>
        <w:tc>
          <w:tcPr>
            <w:tcW w:w="2179" w:type="dxa"/>
            <w:shd w:val="clear" w:color="auto" w:fill="DCDDDE"/>
          </w:tcPr>
          <w:p w:rsidR="00DE0174" w:rsidRPr="00B001E8" w:rsidRDefault="00DE0174" w:rsidP="00111BEA">
            <w:pPr>
              <w:pStyle w:val="TableParagraph"/>
              <w:spacing w:before="23"/>
              <w:ind w:left="11"/>
              <w:jc w:val="center"/>
              <w:rPr>
                <w:rFonts w:asciiTheme="minorHAnsi" w:hAnsiTheme="minorHAnsi" w:cstheme="minorHAnsi"/>
                <w:sz w:val="28"/>
                <w:szCs w:val="26"/>
              </w:rPr>
            </w:pPr>
            <w:r w:rsidRPr="00B001E8">
              <w:rPr>
                <w:rFonts w:asciiTheme="minorHAnsi" w:hAnsiTheme="minorHAnsi" w:cstheme="minorHAnsi"/>
                <w:sz w:val="28"/>
                <w:szCs w:val="26"/>
              </w:rPr>
              <w:t>$</w:t>
            </w:r>
          </w:p>
        </w:tc>
        <w:tc>
          <w:tcPr>
            <w:tcW w:w="2178" w:type="dxa"/>
            <w:shd w:val="clear" w:color="auto" w:fill="DCDDDE"/>
          </w:tcPr>
          <w:p w:rsidR="00DE0174" w:rsidRPr="00B001E8" w:rsidRDefault="00DE0174" w:rsidP="00111BEA">
            <w:pPr>
              <w:pStyle w:val="TableParagraph"/>
              <w:spacing w:before="23"/>
              <w:ind w:left="12"/>
              <w:jc w:val="center"/>
              <w:rPr>
                <w:rFonts w:asciiTheme="minorHAnsi" w:hAnsiTheme="minorHAnsi" w:cstheme="minorHAnsi"/>
                <w:sz w:val="28"/>
                <w:szCs w:val="26"/>
              </w:rPr>
            </w:pPr>
            <w:r w:rsidRPr="00B001E8">
              <w:rPr>
                <w:rFonts w:asciiTheme="minorHAnsi" w:hAnsiTheme="minorHAnsi" w:cstheme="minorHAnsi"/>
                <w:sz w:val="28"/>
                <w:szCs w:val="26"/>
              </w:rPr>
              <w:t>$</w:t>
            </w: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Dinero en efectivo</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Depósitos en cuenta corriente</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Fondo fijo</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Valores a depositar</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Moneda extranjera</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Depósitos en moneda extranjera</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B001E8" w:rsidRDefault="00DE0174" w:rsidP="00496B3A">
            <w:pPr>
              <w:pStyle w:val="TableParagraph"/>
              <w:spacing w:before="27"/>
              <w:ind w:left="80"/>
              <w:rPr>
                <w:rFonts w:asciiTheme="minorHAnsi" w:hAnsiTheme="minorHAnsi" w:cstheme="minorHAnsi"/>
                <w:sz w:val="28"/>
                <w:szCs w:val="26"/>
              </w:rPr>
            </w:pPr>
            <w:r w:rsidRPr="00B001E8">
              <w:rPr>
                <w:rFonts w:asciiTheme="minorHAnsi" w:hAnsiTheme="minorHAnsi" w:cstheme="minorHAnsi"/>
                <w:sz w:val="28"/>
                <w:szCs w:val="26"/>
              </w:rPr>
              <w:t>Otras</w:t>
            </w:r>
          </w:p>
        </w:tc>
        <w:tc>
          <w:tcPr>
            <w:tcW w:w="2179" w:type="dxa"/>
          </w:tcPr>
          <w:p w:rsidR="00DE0174" w:rsidRPr="00B001E8" w:rsidRDefault="00DE0174" w:rsidP="00496B3A">
            <w:pPr>
              <w:pStyle w:val="TableParagraph"/>
              <w:rPr>
                <w:rFonts w:asciiTheme="minorHAnsi" w:hAnsiTheme="minorHAnsi" w:cstheme="minorHAnsi"/>
                <w:sz w:val="28"/>
                <w:szCs w:val="26"/>
              </w:rPr>
            </w:pPr>
          </w:p>
        </w:tc>
        <w:tc>
          <w:tcPr>
            <w:tcW w:w="2178" w:type="dxa"/>
          </w:tcPr>
          <w:p w:rsidR="00DE0174" w:rsidRPr="00B001E8" w:rsidRDefault="00DE0174" w:rsidP="00496B3A">
            <w:pPr>
              <w:pStyle w:val="TableParagraph"/>
              <w:rPr>
                <w:rFonts w:asciiTheme="minorHAnsi" w:hAnsiTheme="minorHAnsi" w:cstheme="minorHAnsi"/>
                <w:sz w:val="28"/>
                <w:szCs w:val="26"/>
              </w:rPr>
            </w:pPr>
          </w:p>
        </w:tc>
      </w:tr>
      <w:tr w:rsidR="00DE0174" w:rsidRPr="00B001E8" w:rsidTr="00111BEA">
        <w:trPr>
          <w:trHeight w:val="222"/>
        </w:trPr>
        <w:tc>
          <w:tcPr>
            <w:tcW w:w="3689" w:type="dxa"/>
          </w:tcPr>
          <w:p w:rsidR="00DE0174" w:rsidRPr="00111BEA" w:rsidRDefault="00DE0174" w:rsidP="00496B3A">
            <w:pPr>
              <w:pStyle w:val="TableParagraph"/>
              <w:spacing w:before="27"/>
              <w:ind w:left="1122"/>
              <w:rPr>
                <w:rFonts w:asciiTheme="minorHAnsi" w:hAnsiTheme="minorHAnsi" w:cstheme="minorHAnsi"/>
                <w:b/>
                <w:sz w:val="28"/>
                <w:szCs w:val="26"/>
              </w:rPr>
            </w:pPr>
            <w:r w:rsidRPr="00111BEA">
              <w:rPr>
                <w:rFonts w:asciiTheme="minorHAnsi" w:hAnsiTheme="minorHAnsi" w:cstheme="minorHAnsi"/>
                <w:b/>
                <w:sz w:val="28"/>
                <w:szCs w:val="26"/>
              </w:rPr>
              <w:t>Total Caja y Bancos</w:t>
            </w:r>
          </w:p>
        </w:tc>
        <w:tc>
          <w:tcPr>
            <w:tcW w:w="2179" w:type="dxa"/>
          </w:tcPr>
          <w:p w:rsidR="00DE0174" w:rsidRPr="00111BEA" w:rsidRDefault="00DE0174" w:rsidP="00496B3A">
            <w:pPr>
              <w:pStyle w:val="TableParagraph"/>
              <w:rPr>
                <w:rFonts w:asciiTheme="minorHAnsi" w:hAnsiTheme="minorHAnsi" w:cstheme="minorHAnsi"/>
                <w:b/>
                <w:sz w:val="28"/>
                <w:szCs w:val="26"/>
              </w:rPr>
            </w:pPr>
          </w:p>
        </w:tc>
        <w:tc>
          <w:tcPr>
            <w:tcW w:w="2178" w:type="dxa"/>
          </w:tcPr>
          <w:p w:rsidR="00DE0174" w:rsidRPr="00111BEA" w:rsidRDefault="00DE0174" w:rsidP="00496B3A">
            <w:pPr>
              <w:pStyle w:val="TableParagraph"/>
              <w:rPr>
                <w:rFonts w:asciiTheme="minorHAnsi" w:hAnsiTheme="minorHAnsi" w:cstheme="minorHAnsi"/>
                <w:b/>
                <w:sz w:val="28"/>
                <w:szCs w:val="26"/>
              </w:rPr>
            </w:pPr>
          </w:p>
        </w:tc>
      </w:tr>
    </w:tbl>
    <w:p w:rsidR="00DE0174" w:rsidRPr="00B001E8" w:rsidRDefault="00DE0174" w:rsidP="00DE0174">
      <w:pPr>
        <w:pStyle w:val="Textoindependiente"/>
        <w:spacing w:before="6"/>
        <w:rPr>
          <w:rFonts w:asciiTheme="minorHAnsi" w:hAnsiTheme="minorHAnsi" w:cstheme="minorHAnsi"/>
          <w:sz w:val="28"/>
          <w:szCs w:val="26"/>
        </w:rPr>
      </w:pPr>
    </w:p>
    <w:p w:rsidR="00111BEA" w:rsidRDefault="00111BEA" w:rsidP="00DE0174">
      <w:pPr>
        <w:spacing w:before="2"/>
        <w:ind w:left="110"/>
        <w:rPr>
          <w:rFonts w:eastAsia="Times New Roman" w:cstheme="minorHAnsi"/>
          <w:b/>
          <w:sz w:val="24"/>
          <w:szCs w:val="24"/>
          <w:lang w:val="es-ES"/>
        </w:rPr>
      </w:pPr>
      <w:bookmarkStart w:id="43" w:name="_Toc125643978"/>
      <w:bookmarkStart w:id="44" w:name="_Toc125644074"/>
      <w:bookmarkStart w:id="45" w:name="_Toc125644168"/>
      <w:bookmarkStart w:id="46" w:name="_GoBack"/>
      <w:bookmarkEnd w:id="46"/>
      <w:r>
        <w:rPr>
          <w:noProof/>
          <w:lang w:val="es-ES" w:eastAsia="es-ES"/>
        </w:rPr>
        <mc:AlternateContent>
          <mc:Choice Requires="wps">
            <w:drawing>
              <wp:anchor distT="0" distB="0" distL="114300" distR="114300" simplePos="0" relativeHeight="251665408" behindDoc="1" locked="0" layoutInCell="1" allowOverlap="1" wp14:anchorId="66B4085C" wp14:editId="23B1AB2F">
                <wp:simplePos x="0" y="0"/>
                <wp:positionH relativeFrom="column">
                  <wp:posOffset>57150</wp:posOffset>
                </wp:positionH>
                <wp:positionV relativeFrom="paragraph">
                  <wp:posOffset>297815</wp:posOffset>
                </wp:positionV>
                <wp:extent cx="4752975" cy="190500"/>
                <wp:effectExtent l="0" t="0" r="9525" b="0"/>
                <wp:wrapNone/>
                <wp:docPr id="3" name="Rectángulo redondeado 3"/>
                <wp:cNvGraphicFramePr/>
                <a:graphic xmlns:a="http://schemas.openxmlformats.org/drawingml/2006/main">
                  <a:graphicData uri="http://schemas.microsoft.com/office/word/2010/wordprocessingShape">
                    <wps:wsp>
                      <wps:cNvSpPr/>
                      <wps:spPr>
                        <a:xfrm>
                          <a:off x="0" y="0"/>
                          <a:ext cx="4752975" cy="190500"/>
                        </a:xfrm>
                        <a:prstGeom prst="roundRect">
                          <a:avLst/>
                        </a:prstGeom>
                        <a:solidFill>
                          <a:schemeClr val="accent2">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11BEA" w:rsidRPr="00F07BFA" w:rsidRDefault="00111BEA" w:rsidP="00111BEA">
                            <w:pPr>
                              <w:spacing w:after="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B4085C" id="Rectángulo redondeado 3" o:spid="_x0000_s1029" style="position:absolute;left:0;text-align:left;margin-left:4.5pt;margin-top:23.45pt;width:374.2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" fillcolor="#f7caac [1301]" stroked="f" strokeweight="1pt">
                <v:stroke joinstyle="miter"/>
                <v:textbox>
                  <w:txbxContent>
                    <w:p w:rsidR="00111BEA" w:rsidRPr="00F07BFA" w:rsidRDefault="00111BEA" w:rsidP="00111BEA">
                      <w:pPr>
                        <w:spacing w:after="0"/>
                        <w:jc w:val="center"/>
                      </w:pPr>
                    </w:p>
                  </w:txbxContent>
                </v:textbox>
              </v:roundrect>
            </w:pict>
          </mc:Fallback>
        </mc:AlternateContent>
      </w:r>
    </w:p>
    <w:p w:rsidR="00DE0174" w:rsidRPr="00B001E8" w:rsidRDefault="00DE0174" w:rsidP="00DE0174">
      <w:pPr>
        <w:spacing w:before="2"/>
        <w:ind w:left="110"/>
        <w:rPr>
          <w:rFonts w:cstheme="minorHAnsi"/>
          <w:bCs/>
          <w:sz w:val="24"/>
          <w:szCs w:val="24"/>
        </w:rPr>
      </w:pPr>
      <w:r w:rsidRPr="005E5F4D">
        <w:rPr>
          <w:rFonts w:eastAsia="Times New Roman" w:cstheme="minorHAnsi"/>
          <w:b/>
          <w:sz w:val="24"/>
          <w:szCs w:val="24"/>
          <w:lang w:val="es-ES"/>
        </w:rPr>
        <w:t>NOTA 3 – HECHOS POSTERIORES A LA FECHA DE LOS ESTADOS CONTABLES</w:t>
      </w:r>
      <w:bookmarkEnd w:id="43"/>
      <w:bookmarkEnd w:id="44"/>
      <w:bookmarkEnd w:id="45"/>
    </w:p>
    <w:p w:rsidR="00DE0174" w:rsidRPr="009F4246" w:rsidRDefault="00DE0174" w:rsidP="00DE0174">
      <w:pPr>
        <w:pStyle w:val="Textoindependiente"/>
        <w:spacing w:before="2" w:line="249" w:lineRule="auto"/>
        <w:ind w:left="110"/>
        <w:rPr>
          <w:rFonts w:asciiTheme="minorHAnsi" w:hAnsiTheme="minorHAnsi" w:cstheme="minorHAnsi"/>
          <w:sz w:val="24"/>
          <w:szCs w:val="24"/>
        </w:rPr>
      </w:pPr>
      <w:r w:rsidRPr="00B001E8">
        <w:rPr>
          <w:rFonts w:asciiTheme="minorHAnsi" w:hAnsiTheme="minorHAnsi" w:cstheme="minorHAnsi"/>
          <w:sz w:val="24"/>
          <w:szCs w:val="24"/>
        </w:rPr>
        <w:t>Con posterioridad al cierre del ejercicio, no se han producido, hechos y circunstancias que afecten o puedan afectar la situación patrimonial, económica y financiera de la sociedad.</w:t>
      </w:r>
    </w:p>
    <w:p w:rsidR="005C2E4C" w:rsidRDefault="005C2E4C"/>
    <w:sectPr w:rsidR="005C2E4C" w:rsidSect="00111BEA">
      <w:pgSz w:w="11906" w:h="16838" w:code="9"/>
      <w:pgMar w:top="720" w:right="720" w:bottom="142"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0174" w:rsidRDefault="00DE0174" w:rsidP="00DE0174">
      <w:pPr>
        <w:spacing w:after="0" w:line="240" w:lineRule="auto"/>
      </w:pPr>
      <w:r>
        <w:separator/>
      </w:r>
    </w:p>
  </w:endnote>
  <w:endnote w:type="continuationSeparator" w:id="0">
    <w:p w:rsidR="00DE0174" w:rsidRDefault="00DE0174" w:rsidP="00DE0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0174" w:rsidRDefault="00DE0174" w:rsidP="00DE0174">
      <w:pPr>
        <w:spacing w:after="0" w:line="240" w:lineRule="auto"/>
      </w:pPr>
      <w:r>
        <w:separator/>
      </w:r>
    </w:p>
  </w:footnote>
  <w:footnote w:type="continuationSeparator" w:id="0">
    <w:p w:rsidR="00DE0174" w:rsidRDefault="00DE0174" w:rsidP="00DE0174">
      <w:pPr>
        <w:spacing w:after="0" w:line="240" w:lineRule="auto"/>
      </w:pPr>
      <w:r>
        <w:continuationSeparator/>
      </w:r>
    </w:p>
  </w:footnote>
  <w:footnote w:id="1">
    <w:p w:rsidR="00DE0174" w:rsidRPr="0065681F" w:rsidRDefault="00DE0174" w:rsidP="00DE0174">
      <w:pPr>
        <w:pStyle w:val="Textonotapie"/>
        <w:rPr>
          <w:rFonts w:ascii="Garamond" w:hAnsi="Garamond"/>
        </w:rPr>
      </w:pPr>
      <w:r w:rsidRPr="0065681F">
        <w:rPr>
          <w:rStyle w:val="Refdenotaalpie"/>
          <w:rFonts w:ascii="Garamond" w:hAnsi="Garamond"/>
        </w:rPr>
        <w:footnoteRef/>
      </w:r>
      <w:r w:rsidRPr="0065681F">
        <w:rPr>
          <w:rFonts w:ascii="Garamond" w:hAnsi="Garamond"/>
        </w:rPr>
        <w:t xml:space="preserve"> </w:t>
      </w:r>
      <w:r>
        <w:rPr>
          <w:rFonts w:ascii="Garamond" w:hAnsi="Garamond"/>
        </w:rPr>
        <w:t>Adecuar lo resaltado en función a la fecha de cierre de los estados contables.</w:t>
      </w:r>
    </w:p>
  </w:footnote>
  <w:footnote w:id="2">
    <w:p w:rsidR="00DE0174" w:rsidRPr="001D7A2F" w:rsidRDefault="00DE0174" w:rsidP="00DE0174">
      <w:pPr>
        <w:pStyle w:val="Textonotapie"/>
        <w:rPr>
          <w:rFonts w:ascii="Garamond" w:hAnsi="Garamond"/>
        </w:rPr>
      </w:pPr>
      <w:r w:rsidRPr="001D7A2F">
        <w:rPr>
          <w:rStyle w:val="Refdenotaalpie"/>
          <w:rFonts w:ascii="Garamond" w:hAnsi="Garamond"/>
        </w:rPr>
        <w:footnoteRef/>
      </w:r>
      <w:r w:rsidRPr="001D7A2F">
        <w:rPr>
          <w:rFonts w:ascii="Garamond" w:hAnsi="Garamond"/>
        </w:rPr>
        <w:t xml:space="preserve"> Adecuar lo resaltado en función a la fecha de cierre del ejercicio anterior.</w:t>
      </w:r>
    </w:p>
  </w:footnote>
  <w:footnote w:id="3">
    <w:p w:rsidR="00DE0174" w:rsidRPr="00766607" w:rsidRDefault="00DE0174" w:rsidP="00DE0174">
      <w:pPr>
        <w:pStyle w:val="Textonotapie"/>
        <w:jc w:val="both"/>
        <w:rPr>
          <w:rFonts w:ascii="Garamond" w:hAnsi="Garamond"/>
        </w:rPr>
      </w:pPr>
      <w:r w:rsidRPr="00766607">
        <w:rPr>
          <w:rStyle w:val="Refdenotaalpie"/>
          <w:rFonts w:ascii="Garamond" w:hAnsi="Garamond"/>
        </w:rPr>
        <w:footnoteRef/>
      </w:r>
      <w:r w:rsidRPr="00766607">
        <w:rPr>
          <w:rFonts w:ascii="Garamond" w:hAnsi="Garamond"/>
        </w:rPr>
        <w:t xml:space="preserve"> </w:t>
      </w:r>
      <w:r>
        <w:rPr>
          <w:rFonts w:ascii="Garamond" w:hAnsi="Garamond"/>
        </w:rPr>
        <w:t>Adecuar en función al regulador ante el que se presentarán los estados contables, y en función a la normativa por estos emitida</w:t>
      </w:r>
      <w:r w:rsidRPr="00766607">
        <w:rPr>
          <w:rFonts w:ascii="Garamond" w:hAnsi="Garamond"/>
        </w:rPr>
        <w:t>.</w:t>
      </w:r>
    </w:p>
  </w:footnote>
  <w:footnote w:id="4">
    <w:p w:rsidR="00DE0174" w:rsidRPr="00E13BB9" w:rsidRDefault="00DE0174" w:rsidP="00DE0174">
      <w:pPr>
        <w:pStyle w:val="Textonotapie"/>
        <w:rPr>
          <w:rFonts w:ascii="Garamond" w:hAnsi="Garamond"/>
        </w:rPr>
      </w:pPr>
      <w:r w:rsidRPr="00E13BB9">
        <w:rPr>
          <w:rStyle w:val="Refdenotaalpie"/>
          <w:rFonts w:ascii="Garamond" w:hAnsi="Garamond"/>
        </w:rPr>
        <w:footnoteRef/>
      </w:r>
      <w:r w:rsidRPr="00E13BB9">
        <w:rPr>
          <w:rFonts w:ascii="Garamond" w:hAnsi="Garamond"/>
        </w:rPr>
        <w:t xml:space="preserve"> </w:t>
      </w:r>
      <w:r>
        <w:rPr>
          <w:rFonts w:ascii="Garamond" w:hAnsi="Garamond"/>
        </w:rPr>
        <w:t>Acrónimo de “Resultado por exposición a los Cambios en el Poder Adquisitivo de la Moneda”</w:t>
      </w:r>
    </w:p>
  </w:footnote>
  <w:footnote w:id="5">
    <w:p w:rsidR="00DE0174" w:rsidRDefault="00DE0174" w:rsidP="00DE0174">
      <w:pPr>
        <w:pStyle w:val="Textonotapie"/>
        <w:jc w:val="both"/>
        <w:rPr>
          <w:rFonts w:ascii="Garamond" w:hAnsi="Garamond"/>
        </w:rPr>
      </w:pPr>
      <w:r w:rsidRPr="00375F25">
        <w:rPr>
          <w:rStyle w:val="Refdenotaalpie"/>
          <w:rFonts w:ascii="Garamond" w:hAnsi="Garamond"/>
        </w:rPr>
        <w:footnoteRef/>
      </w:r>
      <w:r w:rsidRPr="00375F25">
        <w:rPr>
          <w:rFonts w:ascii="Garamond" w:hAnsi="Garamond"/>
        </w:rPr>
        <w:t xml:space="preserve"> </w:t>
      </w:r>
      <w:r>
        <w:rPr>
          <w:rFonts w:ascii="Garamond" w:hAnsi="Garamond"/>
        </w:rPr>
        <w:t xml:space="preserve">RT N° 6, norma </w:t>
      </w:r>
      <w:r w:rsidRPr="00375F25">
        <w:rPr>
          <w:rFonts w:ascii="Garamond" w:hAnsi="Garamond"/>
        </w:rPr>
        <w:t xml:space="preserve">IV.B. 9. </w:t>
      </w:r>
      <w:r>
        <w:rPr>
          <w:rFonts w:ascii="Garamond" w:hAnsi="Garamond"/>
        </w:rPr>
        <w:t>“</w:t>
      </w:r>
      <w:r w:rsidRPr="00375F25">
        <w:rPr>
          <w:rFonts w:ascii="Garamond" w:hAnsi="Garamond"/>
        </w:rPr>
        <w:t>Resultados financieros y por tenencia, incluyendo el resultado por exposición al cambio en el poder adquisitivo de la moneda</w:t>
      </w:r>
      <w:r>
        <w:rPr>
          <w:rFonts w:ascii="Garamond" w:hAnsi="Garamond"/>
        </w:rPr>
        <w:t>”</w:t>
      </w:r>
    </w:p>
    <w:p w:rsidR="00DE0174" w:rsidRPr="00E52239" w:rsidRDefault="00DE0174" w:rsidP="00DE0174">
      <w:pPr>
        <w:pStyle w:val="Textonotapie"/>
        <w:jc w:val="both"/>
        <w:rPr>
          <w:rFonts w:ascii="Garamond" w:hAnsi="Garamond"/>
        </w:rPr>
      </w:pPr>
      <w:r w:rsidRPr="00E52239">
        <w:rPr>
          <w:rFonts w:ascii="Garamond" w:hAnsi="Garamond"/>
        </w:rPr>
        <w:t xml:space="preserve">En el estado de resultados </w:t>
      </w:r>
      <w:proofErr w:type="spellStart"/>
      <w:r w:rsidRPr="00E52239">
        <w:rPr>
          <w:rFonts w:ascii="Garamond" w:hAnsi="Garamond"/>
        </w:rPr>
        <w:t>reexpresado</w:t>
      </w:r>
      <w:proofErr w:type="spellEnd"/>
      <w:r w:rsidRPr="00E52239">
        <w:rPr>
          <w:rFonts w:ascii="Garamond" w:hAnsi="Garamond"/>
        </w:rPr>
        <w:t xml:space="preserve"> en moneda de cierre, esta partida se determina por diferencia entre el resultado final del período (calculado en moneda homogénea tal como se indica en la norma IV.B.1.f) y el subtotal de los rubros del estado de resultados contables a moneda de cierre (según la norma IV.B.1.g.).</w:t>
      </w:r>
    </w:p>
  </w:footnote>
  <w:footnote w:id="6">
    <w:p w:rsidR="00DE0174" w:rsidRDefault="00DE0174" w:rsidP="00DE0174">
      <w:pPr>
        <w:pStyle w:val="Textonotapie"/>
      </w:pPr>
      <w:r>
        <w:rPr>
          <w:rStyle w:val="Refdenotaalpie"/>
        </w:rPr>
        <w:footnoteRef/>
      </w:r>
      <w:r>
        <w:t xml:space="preserve"> </w:t>
      </w:r>
      <w:r>
        <w:rPr>
          <w:rFonts w:ascii="Garamond" w:hAnsi="Garamond"/>
        </w:rPr>
        <w:t>Reemplazar por “Estado de recursos y gastos”, si correspondiere.</w:t>
      </w:r>
    </w:p>
  </w:footnote>
  <w:footnote w:id="7">
    <w:p w:rsidR="00DE0174" w:rsidRPr="00637348" w:rsidRDefault="00DE0174" w:rsidP="00DE0174">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Cada entidad deberá seleccionar aquellas simplificaciones que efectivamente utilizó [Res. MD 11/2019 CPCECABA, punto 5.1.a)].</w:t>
      </w:r>
    </w:p>
  </w:footnote>
  <w:footnote w:id="8">
    <w:p w:rsidR="00DE0174" w:rsidRPr="00637348" w:rsidRDefault="00DE0174" w:rsidP="00DE0174">
      <w:pPr>
        <w:pStyle w:val="Textonotapie"/>
        <w:rPr>
          <w:rFonts w:ascii="Garamond" w:hAnsi="Garamond"/>
        </w:rPr>
      </w:pPr>
      <w:r w:rsidRPr="00637348">
        <w:rPr>
          <w:rStyle w:val="Refdenotaalpie"/>
          <w:rFonts w:ascii="Garamond" w:hAnsi="Garamond"/>
        </w:rPr>
        <w:footnoteRef/>
      </w:r>
      <w:r w:rsidRPr="00637348">
        <w:rPr>
          <w:rFonts w:ascii="Garamond" w:hAnsi="Garamond"/>
        </w:rPr>
        <w:t xml:space="preserve"> Adecuar lo resaltado en función a la fecha de cierre de los estados contables.</w:t>
      </w:r>
    </w:p>
  </w:footnote>
  <w:footnote w:id="9">
    <w:p w:rsidR="00DE0174" w:rsidRPr="00637348" w:rsidRDefault="00DE0174" w:rsidP="00DE0174">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Solo admitida para entes que aplica la RT N° 17, o la RT N° 41, tercera parte [Res. MD 11/2019 CPCECABA, párrafo 3.8].</w:t>
      </w:r>
    </w:p>
  </w:footnote>
  <w:footnote w:id="10">
    <w:p w:rsidR="00DE0174" w:rsidRPr="00637348" w:rsidRDefault="00DE0174" w:rsidP="00DE0174">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Solo aplicable para entes que apliquen la RT N° 17. Los entes que aplican la RT N° 41 están dispensados de presentar esta nota por esa RT.</w:t>
      </w:r>
    </w:p>
  </w:footnote>
  <w:footnote w:id="11">
    <w:p w:rsidR="00DE0174" w:rsidRPr="00637348" w:rsidRDefault="00DE0174" w:rsidP="00DE0174">
      <w:pPr>
        <w:pStyle w:val="Textonotapie"/>
        <w:jc w:val="both"/>
        <w:rPr>
          <w:rFonts w:ascii="Garamond" w:hAnsi="Garamond"/>
        </w:rPr>
      </w:pPr>
      <w:r w:rsidRPr="00637348">
        <w:rPr>
          <w:rStyle w:val="Refdenotaalpie"/>
          <w:rFonts w:ascii="Garamond" w:hAnsi="Garamond"/>
        </w:rPr>
        <w:footnoteRef/>
      </w:r>
      <w:r w:rsidRPr="00637348">
        <w:rPr>
          <w:rFonts w:ascii="Garamond" w:hAnsi="Garamond"/>
        </w:rPr>
        <w:t xml:space="preserve"> Mención requerida por la Res. MD 11/2019 CPCECABA, punto 5.1.b).</w:t>
      </w:r>
    </w:p>
  </w:footnote>
  <w:footnote w:id="12">
    <w:p w:rsidR="00DE0174" w:rsidRDefault="00DE0174" w:rsidP="00DE0174">
      <w:pPr>
        <w:pStyle w:val="Textonotapie"/>
      </w:pPr>
      <w:r>
        <w:rPr>
          <w:rStyle w:val="Refdenotaalpie"/>
        </w:rPr>
        <w:footnoteRef/>
      </w:r>
      <w:r>
        <w:t xml:space="preserve"> </w:t>
      </w:r>
      <w:r w:rsidRPr="00C61D4E">
        <w:rPr>
          <w:rFonts w:ascii="Garamond" w:hAnsi="Garamond"/>
        </w:rPr>
        <w:t>Solo de los rubros que tienen saldo.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8F0477"/>
    <w:multiLevelType w:val="hybridMultilevel"/>
    <w:tmpl w:val="09E4CEDE"/>
    <w:lvl w:ilvl="0" w:tplc="2C0A0001">
      <w:start w:val="1"/>
      <w:numFmt w:val="bullet"/>
      <w:lvlText w:val=""/>
      <w:lvlJc w:val="left"/>
      <w:pPr>
        <w:ind w:left="735" w:hanging="375"/>
      </w:pPr>
      <w:rPr>
        <w:rFonts w:ascii="Symbol" w:hAnsi="Symbo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6CB51DBC"/>
    <w:multiLevelType w:val="hybridMultilevel"/>
    <w:tmpl w:val="BDF03AE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DA947E0"/>
    <w:multiLevelType w:val="multilevel"/>
    <w:tmpl w:val="1AB27FBA"/>
    <w:lvl w:ilvl="0">
      <w:start w:val="1"/>
      <w:numFmt w:val="decimal"/>
      <w:lvlText w:val="%1"/>
      <w:lvlJc w:val="left"/>
      <w:pPr>
        <w:ind w:left="360" w:hanging="360"/>
      </w:pPr>
      <w:rPr>
        <w:rFonts w:eastAsia="Times New Roman" w:hint="default"/>
        <w:b/>
      </w:rPr>
    </w:lvl>
    <w:lvl w:ilvl="1">
      <w:start w:val="4"/>
      <w:numFmt w:val="decimal"/>
      <w:lvlText w:val="%1.%2"/>
      <w:lvlJc w:val="left"/>
      <w:pPr>
        <w:ind w:left="360" w:hanging="360"/>
      </w:pPr>
      <w:rPr>
        <w:rFonts w:eastAsia="Times New Roman" w:hint="default"/>
        <w:b/>
      </w:rPr>
    </w:lvl>
    <w:lvl w:ilvl="2">
      <w:start w:val="1"/>
      <w:numFmt w:val="upperLetter"/>
      <w:lvlText w:val="%1.%2.%3"/>
      <w:lvlJc w:val="left"/>
      <w:pPr>
        <w:ind w:left="720" w:hanging="720"/>
      </w:pPr>
      <w:rPr>
        <w:rFonts w:eastAsia="Times New Roman" w:hint="default"/>
        <w:b/>
      </w:rPr>
    </w:lvl>
    <w:lvl w:ilvl="3">
      <w:start w:val="1"/>
      <w:numFmt w:val="upperLetter"/>
      <w:lvlText w:val="%1.%2.%3.%4"/>
      <w:lvlJc w:val="left"/>
      <w:pPr>
        <w:ind w:left="720" w:hanging="720"/>
      </w:pPr>
      <w:rPr>
        <w:rFonts w:eastAsia="Times New Roman" w:hint="default"/>
        <w:b/>
      </w:rPr>
    </w:lvl>
    <w:lvl w:ilvl="4">
      <w:start w:val="1"/>
      <w:numFmt w:val="upperLetter"/>
      <w:lvlText w:val="%1.%2.%3.%4.%5"/>
      <w:lvlJc w:val="left"/>
      <w:pPr>
        <w:ind w:left="1080" w:hanging="1080"/>
      </w:pPr>
      <w:rPr>
        <w:rFonts w:eastAsia="Times New Roman" w:hint="default"/>
        <w:b/>
      </w:rPr>
    </w:lvl>
    <w:lvl w:ilvl="5">
      <w:start w:val="1"/>
      <w:numFmt w:val="upperLetter"/>
      <w:lvlText w:val="%1.%2.%3.%4.%5.%6"/>
      <w:lvlJc w:val="left"/>
      <w:pPr>
        <w:ind w:left="1080" w:hanging="1080"/>
      </w:pPr>
      <w:rPr>
        <w:rFonts w:eastAsia="Times New Roman" w:hint="default"/>
        <w:b/>
      </w:rPr>
    </w:lvl>
    <w:lvl w:ilvl="6">
      <w:start w:val="1"/>
      <w:numFmt w:val="upperLetter"/>
      <w:lvlText w:val="%1.%2.%3.%4.%5.%6.%7"/>
      <w:lvlJc w:val="left"/>
      <w:pPr>
        <w:ind w:left="1440" w:hanging="1440"/>
      </w:pPr>
      <w:rPr>
        <w:rFonts w:eastAsia="Times New Roman" w:hint="default"/>
        <w:b/>
      </w:rPr>
    </w:lvl>
    <w:lvl w:ilvl="7">
      <w:start w:val="1"/>
      <w:numFmt w:val="upperLetter"/>
      <w:lvlText w:val="%1.%2.%3.%4.%5.%6.%7.%8"/>
      <w:lvlJc w:val="left"/>
      <w:pPr>
        <w:ind w:left="1440" w:hanging="1440"/>
      </w:pPr>
      <w:rPr>
        <w:rFonts w:eastAsia="Times New Roman" w:hint="default"/>
        <w:b/>
      </w:rPr>
    </w:lvl>
    <w:lvl w:ilvl="8">
      <w:start w:val="1"/>
      <w:numFmt w:val="decimal"/>
      <w:lvlText w:val="%1.%2.%3.%4.%5.%6.%7.%8.%9"/>
      <w:lvlJc w:val="left"/>
      <w:pPr>
        <w:ind w:left="1800" w:hanging="1800"/>
      </w:pPr>
      <w:rPr>
        <w:rFonts w:eastAsia="Times New Roman"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174"/>
    <w:rsid w:val="00111BEA"/>
    <w:rsid w:val="005C2E4C"/>
    <w:rsid w:val="00DE0174"/>
    <w:rsid w:val="00E7598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1FBAC-0D9A-40FF-AD51-D7D82840F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0174"/>
  </w:style>
  <w:style w:type="paragraph" w:styleId="Ttulo2">
    <w:name w:val="heading 2"/>
    <w:basedOn w:val="Normal"/>
    <w:link w:val="Ttulo2Car"/>
    <w:uiPriority w:val="1"/>
    <w:qFormat/>
    <w:rsid w:val="00DE0174"/>
    <w:pPr>
      <w:widowControl w:val="0"/>
      <w:autoSpaceDE w:val="0"/>
      <w:autoSpaceDN w:val="0"/>
      <w:spacing w:after="0" w:line="240" w:lineRule="auto"/>
      <w:ind w:left="110"/>
      <w:jc w:val="both"/>
      <w:outlineLvl w:val="1"/>
    </w:pPr>
    <w:rPr>
      <w:rFonts w:ascii="Times New Roman" w:eastAsia="Times New Roman" w:hAnsi="Times New Roman" w:cs="Times New Roman"/>
      <w:b/>
      <w:bCs/>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1"/>
    <w:rsid w:val="00DE0174"/>
    <w:rPr>
      <w:rFonts w:ascii="Times New Roman" w:eastAsia="Times New Roman" w:hAnsi="Times New Roman" w:cs="Times New Roman"/>
      <w:b/>
      <w:bCs/>
      <w:sz w:val="20"/>
      <w:szCs w:val="20"/>
      <w:lang w:val="es-ES"/>
    </w:rPr>
  </w:style>
  <w:style w:type="paragraph" w:styleId="Prrafodelista">
    <w:name w:val="List Paragraph"/>
    <w:basedOn w:val="Normal"/>
    <w:uiPriority w:val="1"/>
    <w:qFormat/>
    <w:rsid w:val="00DE0174"/>
    <w:pPr>
      <w:ind w:left="720"/>
      <w:contextualSpacing/>
    </w:pPr>
  </w:style>
  <w:style w:type="paragraph" w:styleId="Textonotapie">
    <w:name w:val="footnote text"/>
    <w:basedOn w:val="Normal"/>
    <w:link w:val="TextonotapieCar"/>
    <w:uiPriority w:val="99"/>
    <w:unhideWhenUsed/>
    <w:rsid w:val="00DE0174"/>
    <w:pPr>
      <w:spacing w:after="0" w:line="240" w:lineRule="auto"/>
    </w:pPr>
    <w:rPr>
      <w:sz w:val="20"/>
      <w:szCs w:val="20"/>
    </w:rPr>
  </w:style>
  <w:style w:type="character" w:customStyle="1" w:styleId="TextonotapieCar">
    <w:name w:val="Texto nota pie Car"/>
    <w:basedOn w:val="Fuentedeprrafopredeter"/>
    <w:link w:val="Textonotapie"/>
    <w:uiPriority w:val="99"/>
    <w:rsid w:val="00DE0174"/>
    <w:rPr>
      <w:sz w:val="20"/>
      <w:szCs w:val="20"/>
    </w:rPr>
  </w:style>
  <w:style w:type="character" w:styleId="Refdenotaalpie">
    <w:name w:val="footnote reference"/>
    <w:basedOn w:val="Fuentedeprrafopredeter"/>
    <w:uiPriority w:val="99"/>
    <w:unhideWhenUsed/>
    <w:rsid w:val="00DE0174"/>
    <w:rPr>
      <w:vertAlign w:val="superscript"/>
    </w:rPr>
  </w:style>
  <w:style w:type="table" w:customStyle="1" w:styleId="TableNormal1">
    <w:name w:val="Table Normal1"/>
    <w:uiPriority w:val="2"/>
    <w:semiHidden/>
    <w:unhideWhenUsed/>
    <w:qFormat/>
    <w:rsid w:val="00DE017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DE0174"/>
    <w:pPr>
      <w:widowControl w:val="0"/>
      <w:autoSpaceDE w:val="0"/>
      <w:autoSpaceDN w:val="0"/>
      <w:spacing w:after="0" w:line="240" w:lineRule="auto"/>
    </w:pPr>
    <w:rPr>
      <w:rFonts w:ascii="Times New Roman" w:eastAsia="Times New Roman" w:hAnsi="Times New Roman" w:cs="Times New Roman"/>
      <w:sz w:val="20"/>
      <w:szCs w:val="20"/>
      <w:lang w:val="es-ES"/>
    </w:rPr>
  </w:style>
  <w:style w:type="character" w:customStyle="1" w:styleId="TextoindependienteCar">
    <w:name w:val="Texto independiente Car"/>
    <w:basedOn w:val="Fuentedeprrafopredeter"/>
    <w:link w:val="Textoindependiente"/>
    <w:uiPriority w:val="1"/>
    <w:rsid w:val="00DE0174"/>
    <w:rPr>
      <w:rFonts w:ascii="Times New Roman" w:eastAsia="Times New Roman" w:hAnsi="Times New Roman" w:cs="Times New Roman"/>
      <w:sz w:val="20"/>
      <w:szCs w:val="20"/>
      <w:lang w:val="es-ES"/>
    </w:rPr>
  </w:style>
  <w:style w:type="paragraph" w:customStyle="1" w:styleId="TableParagraph">
    <w:name w:val="Table Paragraph"/>
    <w:basedOn w:val="Normal"/>
    <w:uiPriority w:val="1"/>
    <w:qFormat/>
    <w:rsid w:val="00DE0174"/>
    <w:pPr>
      <w:widowControl w:val="0"/>
      <w:autoSpaceDE w:val="0"/>
      <w:autoSpaceDN w:val="0"/>
      <w:spacing w:after="0" w:line="240" w:lineRule="auto"/>
    </w:pPr>
    <w:rPr>
      <w:rFonts w:ascii="Times New Roman"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1748</Words>
  <Characters>9615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Damian Nardacchione</dc:creator>
  <cp:keywords/>
  <dc:description/>
  <cp:lastModifiedBy>Romina Eugenia Cassinelli</cp:lastModifiedBy>
  <cp:revision>2</cp:revision>
  <dcterms:created xsi:type="dcterms:W3CDTF">2023-02-16T16:27:00Z</dcterms:created>
  <dcterms:modified xsi:type="dcterms:W3CDTF">2023-02-16T17:27:00Z</dcterms:modified>
</cp:coreProperties>
</file>